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7E6E6" w:themeColor="background2"/>
  <w:body>
    <w:p>
      <w:pPr>
        <w:tabs>
          <w:tab w:val="left" w:pos="713"/>
          <w:tab w:val="center" w:pos="4217"/>
        </w:tabs>
        <w:spacing w:line="480" w:lineRule="auto"/>
        <w:jc w:val="left"/>
        <w:rPr>
          <w:rFonts w:ascii="宋体" w:hAnsi="宋体"/>
          <w:b/>
          <w:sz w:val="44"/>
          <w:szCs w:val="44"/>
        </w:rPr>
      </w:pPr>
    </w:p>
    <w:p>
      <w:pPr>
        <w:tabs>
          <w:tab w:val="left" w:pos="713"/>
          <w:tab w:val="center" w:pos="4217"/>
        </w:tabs>
        <w:spacing w:line="480" w:lineRule="auto"/>
        <w:jc w:val="left"/>
        <w:rPr>
          <w:rFonts w:ascii="宋体" w:hAnsi="宋体"/>
          <w:b/>
          <w:sz w:val="44"/>
          <w:szCs w:val="44"/>
        </w:rPr>
      </w:pPr>
    </w:p>
    <w:p>
      <w:pPr>
        <w:tabs>
          <w:tab w:val="left" w:pos="713"/>
          <w:tab w:val="center" w:pos="4217"/>
        </w:tabs>
        <w:jc w:val="center"/>
        <w:rPr>
          <w:rFonts w:ascii="宋体" w:hAnsi="宋体"/>
          <w:b/>
          <w:sz w:val="52"/>
          <w:szCs w:val="52"/>
        </w:rPr>
      </w:pPr>
      <w:r>
        <w:rPr>
          <w:rFonts w:hint="eastAsia" w:ascii="宋体" w:hAnsi="宋体"/>
          <w:b/>
          <w:sz w:val="52"/>
          <w:szCs w:val="52"/>
        </w:rPr>
        <w:t>内蒙古大地云天化工有限公司</w:t>
      </w: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kinsoku w:val="0"/>
        <w:wordWrap w:val="0"/>
        <w:overflowPunct w:val="0"/>
        <w:autoSpaceDE w:val="0"/>
        <w:autoSpaceDN w:val="0"/>
        <w:spacing w:line="360" w:lineRule="auto"/>
        <w:jc w:val="center"/>
        <w:rPr>
          <w:rFonts w:asciiTheme="minorEastAsia" w:hAnsiTheme="minorEastAsia" w:cstheme="minorEastAsia"/>
          <w:b/>
          <w:bCs/>
          <w:sz w:val="44"/>
          <w:szCs w:val="44"/>
        </w:rPr>
      </w:pPr>
    </w:p>
    <w:p>
      <w:pPr>
        <w:kinsoku w:val="0"/>
        <w:wordWrap w:val="0"/>
        <w:overflowPunct w:val="0"/>
        <w:autoSpaceDE w:val="0"/>
        <w:autoSpaceDN w:val="0"/>
        <w:spacing w:line="360" w:lineRule="auto"/>
        <w:jc w:val="center"/>
        <w:rPr>
          <w:rFonts w:asciiTheme="minorEastAsia" w:hAnsiTheme="minorEastAsia" w:cstheme="minorEastAsia"/>
          <w:b/>
          <w:bCs/>
          <w:sz w:val="44"/>
          <w:szCs w:val="44"/>
        </w:rPr>
      </w:pPr>
    </w:p>
    <w:p>
      <w:pPr>
        <w:kinsoku w:val="0"/>
        <w:wordWrap w:val="0"/>
        <w:overflowPunct w:val="0"/>
        <w:autoSpaceDE w:val="0"/>
        <w:autoSpaceDN w:val="0"/>
        <w:spacing w:line="360" w:lineRule="auto"/>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化肥着色、包裹技术服务承包项目</w:t>
      </w:r>
    </w:p>
    <w:p>
      <w:pPr>
        <w:kinsoku w:val="0"/>
        <w:wordWrap w:val="0"/>
        <w:overflowPunct w:val="0"/>
        <w:autoSpaceDE w:val="0"/>
        <w:autoSpaceDN w:val="0"/>
        <w:spacing w:line="360" w:lineRule="auto"/>
        <w:jc w:val="center"/>
        <w:rPr>
          <w:rFonts w:asciiTheme="minorEastAsia" w:hAnsiTheme="minorEastAsia" w:cstheme="minorEastAsia"/>
          <w:b/>
          <w:bCs/>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bCs/>
          <w:sz w:val="84"/>
          <w:szCs w:val="84"/>
        </w:rPr>
      </w:pPr>
      <w:r>
        <w:rPr>
          <w:rFonts w:hint="eastAsia" w:ascii="宋体" w:hAnsi="宋体"/>
          <w:b/>
          <w:bCs/>
          <w:sz w:val="84"/>
          <w:szCs w:val="84"/>
        </w:rPr>
        <w:t>询 价 文 件</w:t>
      </w:r>
    </w:p>
    <w:p>
      <w:pPr>
        <w:spacing w:line="480" w:lineRule="auto"/>
        <w:jc w:val="center"/>
        <w:rPr>
          <w:rFonts w:ascii="宋体" w:hAnsi="宋体"/>
          <w:b/>
          <w:bCs/>
          <w:sz w:val="30"/>
          <w:szCs w:val="30"/>
        </w:rPr>
      </w:pPr>
    </w:p>
    <w:p>
      <w:pPr>
        <w:spacing w:line="480" w:lineRule="auto"/>
        <w:jc w:val="center"/>
        <w:rPr>
          <w:rFonts w:ascii="宋体" w:hAnsi="宋体"/>
          <w:b/>
          <w:bCs/>
          <w:sz w:val="30"/>
          <w:szCs w:val="30"/>
        </w:rPr>
      </w:pPr>
    </w:p>
    <w:p>
      <w:pPr>
        <w:spacing w:line="480" w:lineRule="auto"/>
        <w:jc w:val="center"/>
        <w:rPr>
          <w:rFonts w:ascii="宋体" w:hAnsi="宋体"/>
          <w:b/>
          <w:bCs/>
          <w:sz w:val="30"/>
          <w:szCs w:val="30"/>
        </w:rPr>
      </w:pPr>
    </w:p>
    <w:p>
      <w:pPr>
        <w:spacing w:line="480" w:lineRule="auto"/>
        <w:jc w:val="center"/>
        <w:rPr>
          <w:rFonts w:ascii="宋体" w:hAnsi="宋体"/>
          <w:b/>
          <w:bCs/>
          <w:sz w:val="30"/>
          <w:szCs w:val="30"/>
        </w:rPr>
      </w:pPr>
    </w:p>
    <w:p>
      <w:pPr>
        <w:spacing w:line="480" w:lineRule="auto"/>
        <w:ind w:firstLine="1135" w:firstLineChars="314"/>
        <w:rPr>
          <w:rFonts w:ascii="宋体" w:hAnsi="宋体"/>
          <w:b/>
          <w:bCs/>
          <w:sz w:val="36"/>
          <w:szCs w:val="36"/>
        </w:rPr>
      </w:pPr>
      <w:r>
        <w:rPr>
          <w:rFonts w:hint="eastAsia" w:ascii="宋体" w:hAnsi="宋体"/>
          <w:b/>
          <w:bCs/>
          <w:sz w:val="36"/>
          <w:szCs w:val="36"/>
        </w:rPr>
        <w:t>询价编号：  DDYT-06-2112-010</w:t>
      </w:r>
    </w:p>
    <w:p>
      <w:pPr>
        <w:ind w:firstLine="1135" w:firstLineChars="314"/>
        <w:rPr>
          <w:rFonts w:ascii="宋体" w:hAnsi="宋体"/>
          <w:b/>
          <w:bCs/>
          <w:sz w:val="36"/>
          <w:szCs w:val="36"/>
        </w:rPr>
      </w:pPr>
      <w:r>
        <w:rPr>
          <w:rFonts w:hint="eastAsia" w:ascii="宋体" w:hAnsi="宋体"/>
          <w:b/>
          <w:bCs/>
          <w:sz w:val="36"/>
          <w:szCs w:val="36"/>
        </w:rPr>
        <w:t>询价 人： 内蒙古大地云天化工有限公司</w:t>
      </w: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2021年1</w:t>
      </w:r>
      <w:r>
        <w:rPr>
          <w:rFonts w:ascii="宋体" w:hAnsi="宋体"/>
          <w:b/>
          <w:bCs/>
          <w:sz w:val="36"/>
          <w:szCs w:val="36"/>
        </w:rPr>
        <w:t>2</w:t>
      </w:r>
      <w:r>
        <w:rPr>
          <w:rFonts w:hint="eastAsia" w:ascii="宋体" w:hAnsi="宋体"/>
          <w:b/>
          <w:bCs/>
          <w:sz w:val="36"/>
          <w:szCs w:val="36"/>
        </w:rPr>
        <w:t>月</w:t>
      </w:r>
    </w:p>
    <w:p>
      <w:pPr>
        <w:pStyle w:val="2"/>
        <w:spacing w:line="360" w:lineRule="auto"/>
        <w:jc w:val="center"/>
        <w:rPr>
          <w:rFonts w:ascii="宋体" w:hAnsi="宋体"/>
          <w:bCs w:val="0"/>
          <w:w w:val="90"/>
        </w:rPr>
      </w:pPr>
      <w:bookmarkStart w:id="0" w:name="_Toc24230"/>
      <w:r>
        <w:rPr>
          <w:rFonts w:hint="eastAsia" w:ascii="宋体" w:hAnsi="宋体"/>
          <w:bCs w:val="0"/>
          <w:w w:val="90"/>
          <w:sz w:val="30"/>
          <w:szCs w:val="30"/>
        </w:rPr>
        <w:t>目  录</w:t>
      </w:r>
      <w:bookmarkEnd w:id="0"/>
    </w:p>
    <w:p>
      <w:pPr>
        <w:pStyle w:val="14"/>
        <w:tabs>
          <w:tab w:val="right" w:leader="dot" w:pos="9071"/>
          <w:tab w:val="clear" w:pos="9231"/>
        </w:tabs>
        <w:rPr>
          <w:color w:val="auto"/>
        </w:rPr>
      </w:pPr>
      <w:r>
        <w:rPr>
          <w:rFonts w:hint="eastAsia"/>
          <w:b/>
          <w:color w:val="auto"/>
        </w:rPr>
        <w:fldChar w:fldCharType="begin"/>
      </w:r>
      <w:r>
        <w:rPr>
          <w:rFonts w:hint="eastAsia"/>
          <w:b/>
          <w:color w:val="auto"/>
        </w:rPr>
        <w:instrText xml:space="preserve"> TOC \o "1-3" \h \z \u </w:instrText>
      </w:r>
      <w:r>
        <w:rPr>
          <w:rFonts w:hint="eastAsia"/>
          <w:b/>
          <w:color w:val="auto"/>
        </w:rPr>
        <w:fldChar w:fldCharType="separate"/>
      </w:r>
      <w:r>
        <w:fldChar w:fldCharType="begin"/>
      </w:r>
      <w:r>
        <w:instrText xml:space="preserve"> HYPERLINK \l "_Toc21566" </w:instrText>
      </w:r>
      <w:r>
        <w:fldChar w:fldCharType="separate"/>
      </w:r>
      <w:r>
        <w:rPr>
          <w:rFonts w:hint="eastAsia"/>
          <w:color w:val="auto"/>
        </w:rPr>
        <w:t>第一章  询价公告</w:t>
      </w:r>
      <w:r>
        <w:rPr>
          <w:color w:val="auto"/>
        </w:rPr>
        <w:tab/>
      </w:r>
      <w:r>
        <w:rPr>
          <w:color w:val="auto"/>
        </w:rPr>
        <w:fldChar w:fldCharType="begin"/>
      </w:r>
      <w:r>
        <w:rPr>
          <w:color w:val="auto"/>
        </w:rPr>
        <w:instrText xml:space="preserve"> PAGEREF _Toc21566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"_Toc3072" </w:instrText>
      </w:r>
      <w:r>
        <w:fldChar w:fldCharType="separate"/>
      </w:r>
      <w:r>
        <w:rPr>
          <w:rFonts w:hint="eastAsia"/>
          <w:color w:val="auto"/>
        </w:rPr>
        <w:t>第二章  报价人须知前附表</w:t>
      </w:r>
      <w:r>
        <w:rPr>
          <w:color w:val="auto"/>
        </w:rPr>
        <w:tab/>
      </w:r>
      <w:r>
        <w:rPr>
          <w:color w:val="auto"/>
        </w:rPr>
        <w:fldChar w:fldCharType="begin"/>
      </w:r>
      <w:r>
        <w:rPr>
          <w:color w:val="auto"/>
        </w:rPr>
        <w:instrText xml:space="preserve"> PAGEREF _Toc3072 </w:instrText>
      </w:r>
      <w:r>
        <w:rPr>
          <w:color w:val="auto"/>
        </w:rPr>
        <w:fldChar w:fldCharType="separate"/>
      </w:r>
      <w:r>
        <w:rPr>
          <w:color w:val="auto"/>
        </w:rPr>
        <w:t>5</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"_Toc30432" </w:instrText>
      </w:r>
      <w:r>
        <w:fldChar w:fldCharType="separate"/>
      </w:r>
      <w:r>
        <w:rPr>
          <w:rFonts w:hint="eastAsia"/>
          <w:color w:val="auto"/>
        </w:rPr>
        <w:t xml:space="preserve">第三章 </w:t>
      </w:r>
      <w:r>
        <w:rPr>
          <w:color w:val="auto"/>
        </w:rPr>
        <w:t xml:space="preserve"> </w:t>
      </w:r>
      <w:r>
        <w:rPr>
          <w:rFonts w:hint="eastAsia"/>
          <w:color w:val="auto"/>
        </w:rPr>
        <w:t>报价人须知</w:t>
      </w:r>
      <w:r>
        <w:rPr>
          <w:color w:val="auto"/>
        </w:rPr>
        <w:tab/>
      </w:r>
      <w:r>
        <w:rPr>
          <w:color w:val="auto"/>
        </w:rPr>
        <w:fldChar w:fldCharType="begin"/>
      </w:r>
      <w:r>
        <w:rPr>
          <w:color w:val="auto"/>
        </w:rPr>
        <w:instrText xml:space="preserve"> PAGEREF _Toc30432 </w:instrText>
      </w:r>
      <w:r>
        <w:rPr>
          <w:color w:val="auto"/>
        </w:rPr>
        <w:fldChar w:fldCharType="separate"/>
      </w:r>
      <w:r>
        <w:rPr>
          <w:color w:val="auto"/>
        </w:rPr>
        <w:t>7</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"_Toc24474" </w:instrText>
      </w:r>
      <w:r>
        <w:fldChar w:fldCharType="separate"/>
      </w:r>
      <w:r>
        <w:rPr>
          <w:rFonts w:hint="eastAsia"/>
          <w:color w:val="auto"/>
        </w:rPr>
        <w:t>第四章  询价内容及要求</w:t>
      </w:r>
      <w:r>
        <w:rPr>
          <w:color w:val="auto"/>
        </w:rPr>
        <w:tab/>
      </w:r>
      <w:r>
        <w:rPr>
          <w:color w:val="auto"/>
        </w:rPr>
        <w:fldChar w:fldCharType="begin"/>
      </w:r>
      <w:r>
        <w:rPr>
          <w:color w:val="auto"/>
        </w:rPr>
        <w:instrText xml:space="preserve"> PAGEREF _Toc24474 </w:instrText>
      </w:r>
      <w:r>
        <w:rPr>
          <w:color w:val="auto"/>
        </w:rPr>
        <w:fldChar w:fldCharType="separate"/>
      </w:r>
      <w:r>
        <w:rPr>
          <w:color w:val="auto"/>
        </w:rPr>
        <w:t>15</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"_Toc13028" </w:instrText>
      </w:r>
      <w:r>
        <w:fldChar w:fldCharType="separate"/>
      </w:r>
      <w:r>
        <w:rPr>
          <w:rFonts w:hint="eastAsia"/>
          <w:color w:val="auto"/>
          <w:szCs w:val="36"/>
        </w:rPr>
        <w:t>第五章  报价文件格式</w:t>
      </w:r>
      <w:r>
        <w:rPr>
          <w:color w:val="auto"/>
        </w:rPr>
        <w:tab/>
      </w:r>
      <w:r>
        <w:rPr>
          <w:color w:val="auto"/>
        </w:rPr>
        <w:fldChar w:fldCharType="begin"/>
      </w:r>
      <w:r>
        <w:rPr>
          <w:color w:val="auto"/>
        </w:rPr>
        <w:instrText xml:space="preserve"> PAGEREF _Toc13028 </w:instrText>
      </w:r>
      <w:r>
        <w:rPr>
          <w:color w:val="auto"/>
        </w:rPr>
        <w:fldChar w:fldCharType="separate"/>
      </w:r>
      <w:r>
        <w:rPr>
          <w:color w:val="auto"/>
        </w:rPr>
        <w:t>17</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"_Toc27118" </w:instrText>
      </w:r>
      <w:r>
        <w:fldChar w:fldCharType="separate"/>
      </w:r>
      <w:r>
        <w:rPr>
          <w:rFonts w:hint="eastAsia"/>
          <w:color w:val="auto"/>
        </w:rPr>
        <w:t>第六章</w:t>
      </w:r>
      <w:r>
        <w:rPr>
          <w:rFonts w:hint="eastAsia"/>
          <w:color w:val="auto"/>
          <w:szCs w:val="36"/>
        </w:rPr>
        <w:t xml:space="preserve">  </w:t>
      </w:r>
      <w:r>
        <w:rPr>
          <w:rFonts w:hint="eastAsia"/>
          <w:color w:val="auto"/>
        </w:rPr>
        <w:t>合同条款</w:t>
      </w:r>
      <w:r>
        <w:rPr>
          <w:color w:val="auto"/>
        </w:rPr>
        <w:tab/>
      </w:r>
      <w:r>
        <w:rPr>
          <w:color w:val="auto"/>
        </w:rPr>
        <w:fldChar w:fldCharType="begin"/>
      </w:r>
      <w:r>
        <w:rPr>
          <w:color w:val="auto"/>
        </w:rPr>
        <w:instrText xml:space="preserve"> PAGEREF _Toc27118 </w:instrText>
      </w:r>
      <w:r>
        <w:rPr>
          <w:color w:val="auto"/>
        </w:rPr>
        <w:fldChar w:fldCharType="separate"/>
      </w:r>
      <w:r>
        <w:rPr>
          <w:color w:val="auto"/>
        </w:rPr>
        <w:t>27</w:t>
      </w:r>
      <w:r>
        <w:rPr>
          <w:color w:val="auto"/>
        </w:rPr>
        <w:fldChar w:fldCharType="end"/>
      </w:r>
      <w:r>
        <w:rPr>
          <w:color w:val="auto"/>
        </w:rPr>
        <w:fldChar w:fldCharType="end"/>
      </w:r>
    </w:p>
    <w:p>
      <w:pPr>
        <w:pStyle w:val="14"/>
        <w:tabs>
          <w:tab w:val="right" w:leader="dot" w:pos="9071"/>
          <w:tab w:val="clear" w:pos="9231"/>
        </w:tabs>
        <w:rPr>
          <w:color w:val="auto"/>
        </w:rPr>
      </w:pPr>
      <w:r>
        <w:fldChar w:fldCharType="begin"/>
      </w:r>
      <w:r>
        <w:instrText xml:space="preserve"> HYPERLINK \l "_Toc3475" </w:instrText>
      </w:r>
      <w:r>
        <w:fldChar w:fldCharType="separate"/>
      </w:r>
      <w:r>
        <w:rPr>
          <w:rFonts w:hint="eastAsia" w:cs="宋体"/>
          <w:color w:val="auto"/>
        </w:rPr>
        <w:t>第七章  评标方法及评标标准</w:t>
      </w:r>
      <w:r>
        <w:rPr>
          <w:color w:val="auto"/>
        </w:rPr>
        <w:tab/>
      </w:r>
      <w:r>
        <w:rPr>
          <w:color w:val="auto"/>
        </w:rPr>
        <w:fldChar w:fldCharType="begin"/>
      </w:r>
      <w:r>
        <w:rPr>
          <w:color w:val="auto"/>
        </w:rPr>
        <w:instrText xml:space="preserve"> PAGEREF _Toc3475 </w:instrText>
      </w:r>
      <w:r>
        <w:rPr>
          <w:color w:val="auto"/>
        </w:rPr>
        <w:fldChar w:fldCharType="separate"/>
      </w:r>
      <w:r>
        <w:rPr>
          <w:color w:val="auto"/>
        </w:rPr>
        <w:t>32</w:t>
      </w:r>
      <w:r>
        <w:rPr>
          <w:color w:val="auto"/>
        </w:rPr>
        <w:fldChar w:fldCharType="end"/>
      </w:r>
      <w:r>
        <w:rPr>
          <w:color w:val="auto"/>
        </w:rPr>
        <w:fldChar w:fldCharType="end"/>
      </w:r>
    </w:p>
    <w:p>
      <w:pPr>
        <w:rPr>
          <w:b/>
        </w:rPr>
      </w:pPr>
      <w:r>
        <w:rPr>
          <w:rFonts w:hint="eastAsia"/>
        </w:rPr>
        <w:fldChar w:fldCharType="end"/>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pStyle w:val="2"/>
        <w:spacing w:line="360" w:lineRule="auto"/>
        <w:jc w:val="center"/>
        <w:rPr>
          <w:rFonts w:ascii="宋体" w:hAnsi="宋体"/>
          <w:bCs w:val="0"/>
          <w:w w:val="90"/>
        </w:rPr>
      </w:pPr>
      <w:bookmarkStart w:id="1" w:name="_Toc21566"/>
      <w:r>
        <w:rPr>
          <w:rFonts w:hint="eastAsia" w:ascii="宋体" w:hAnsi="宋体"/>
          <w:bCs w:val="0"/>
          <w:w w:val="90"/>
        </w:rPr>
        <w:t>第一章  询价公告</w:t>
      </w:r>
      <w:bookmarkEnd w:id="1"/>
    </w:p>
    <w:p>
      <w:pPr>
        <w:adjustRightInd w:val="0"/>
        <w:snapToGrid w:val="0"/>
        <w:spacing w:line="360" w:lineRule="auto"/>
        <w:ind w:firstLine="480" w:firstLineChars="200"/>
        <w:jc w:val="left"/>
        <w:rPr>
          <w:sz w:val="24"/>
          <w:szCs w:val="24"/>
        </w:rPr>
      </w:pPr>
      <w:r>
        <w:rPr>
          <w:rFonts w:hint="eastAsia" w:ascii="宋体" w:hAnsi="宋体" w:cs="宋体"/>
          <w:sz w:val="24"/>
          <w:szCs w:val="24"/>
        </w:rPr>
        <w:t>内蒙古大地云天化工有限公司拟采用公开询价方式选择化肥着色、包裹技术服务承包商</w:t>
      </w:r>
      <w:r>
        <w:rPr>
          <w:rFonts w:hint="eastAsia"/>
          <w:sz w:val="24"/>
          <w:szCs w:val="24"/>
        </w:rPr>
        <w:t>，</w:t>
      </w:r>
      <w:r>
        <w:rPr>
          <w:rFonts w:hint="eastAsia" w:ascii="宋体" w:hAnsi="宋体" w:cs="宋体"/>
          <w:sz w:val="24"/>
          <w:szCs w:val="24"/>
        </w:rPr>
        <w:t>特发布本询价公告。</w:t>
      </w:r>
    </w:p>
    <w:p>
      <w:pPr>
        <w:spacing w:line="360" w:lineRule="auto"/>
        <w:outlineLvl w:val="2"/>
        <w:rPr>
          <w:rFonts w:ascii="宋体" w:hAnsi="宋体"/>
          <w:b/>
          <w:bCs/>
          <w:sz w:val="24"/>
          <w:szCs w:val="24"/>
        </w:rPr>
      </w:pPr>
      <w:bookmarkStart w:id="2" w:name="_Toc1088"/>
      <w:r>
        <w:rPr>
          <w:rFonts w:hint="eastAsia" w:ascii="宋体" w:hAnsi="宋体"/>
          <w:b/>
          <w:bCs/>
          <w:sz w:val="24"/>
          <w:szCs w:val="24"/>
        </w:rPr>
        <w:t>1   项目概况</w:t>
      </w:r>
      <w:bookmarkEnd w:id="2"/>
    </w:p>
    <w:p>
      <w:pPr>
        <w:spacing w:line="360" w:lineRule="auto"/>
        <w:rPr>
          <w:rFonts w:asciiTheme="minorEastAsia" w:hAnsiTheme="minorEastAsia" w:cstheme="minorEastAsia"/>
          <w:bCs/>
          <w:sz w:val="24"/>
          <w:szCs w:val="24"/>
        </w:rPr>
      </w:pPr>
      <w:r>
        <w:rPr>
          <w:rFonts w:hint="eastAsia" w:ascii="宋体" w:hAnsi="宋体"/>
          <w:sz w:val="24"/>
          <w:szCs w:val="24"/>
        </w:rPr>
        <w:t xml:space="preserve">1.1 </w:t>
      </w:r>
      <w:r>
        <w:rPr>
          <w:rFonts w:hint="eastAsia" w:asciiTheme="minorEastAsia" w:hAnsiTheme="minorEastAsia"/>
          <w:sz w:val="24"/>
          <w:szCs w:val="24"/>
        </w:rPr>
        <w:t>询价人：内蒙古大地云天化工有限公司</w:t>
      </w:r>
    </w:p>
    <w:p>
      <w:pPr>
        <w:spacing w:line="360" w:lineRule="auto"/>
        <w:rPr>
          <w:rFonts w:asciiTheme="minorEastAsia" w:hAnsiTheme="minorEastAsia" w:cstheme="minorEastAsia"/>
          <w:bCs/>
          <w:sz w:val="24"/>
          <w:szCs w:val="24"/>
        </w:rPr>
      </w:pPr>
      <w:r>
        <w:rPr>
          <w:rFonts w:hint="eastAsia" w:asciiTheme="minorEastAsia" w:hAnsiTheme="minorEastAsia" w:cstheme="minorEastAsia"/>
          <w:bCs/>
          <w:sz w:val="24"/>
          <w:szCs w:val="24"/>
        </w:rPr>
        <w:t>1.2本询价项目为</w:t>
      </w:r>
      <w:r>
        <w:rPr>
          <w:rFonts w:hint="eastAsia" w:ascii="宋体" w:hAnsi="宋体" w:cs="宋体"/>
          <w:sz w:val="24"/>
          <w:szCs w:val="24"/>
        </w:rPr>
        <w:t>化肥着色、包裹技术服务</w:t>
      </w:r>
      <w:r>
        <w:rPr>
          <w:rFonts w:hint="eastAsia" w:ascii="宋体" w:hAnsi="宋体" w:eastAsia="宋体" w:cs="黑体"/>
          <w:kern w:val="0"/>
          <w:sz w:val="24"/>
          <w:szCs w:val="24"/>
        </w:rPr>
        <w:t>业务</w:t>
      </w:r>
      <w:r>
        <w:rPr>
          <w:rFonts w:hint="eastAsia" w:asciiTheme="minorEastAsia" w:hAnsiTheme="minorEastAsia"/>
          <w:sz w:val="24"/>
          <w:szCs w:val="24"/>
        </w:rPr>
        <w:t>。</w:t>
      </w:r>
    </w:p>
    <w:p>
      <w:pPr>
        <w:spacing w:line="360" w:lineRule="auto"/>
        <w:outlineLvl w:val="2"/>
        <w:rPr>
          <w:rFonts w:ascii="宋体" w:hAnsi="宋体"/>
          <w:b/>
          <w:bCs/>
          <w:sz w:val="24"/>
          <w:szCs w:val="24"/>
        </w:rPr>
      </w:pPr>
      <w:bookmarkStart w:id="3" w:name="_Toc25100"/>
      <w:r>
        <w:rPr>
          <w:rFonts w:hint="eastAsia" w:ascii="宋体" w:hAnsi="宋体"/>
          <w:b/>
          <w:bCs/>
          <w:sz w:val="24"/>
          <w:szCs w:val="24"/>
        </w:rPr>
        <w:t>2   询价范围</w:t>
      </w:r>
      <w:bookmarkEnd w:id="3"/>
    </w:p>
    <w:p>
      <w:pPr>
        <w:kinsoku w:val="0"/>
        <w:wordWrap w:val="0"/>
        <w:overflowPunct w:val="0"/>
        <w:autoSpaceDE w:val="0"/>
        <w:autoSpaceDN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2.1 询价范围</w:t>
      </w:r>
    </w:p>
    <w:p>
      <w:pPr>
        <w:kinsoku w:val="0"/>
        <w:wordWrap w:val="0"/>
        <w:overflowPunct w:val="0"/>
        <w:autoSpaceDE w:val="0"/>
        <w:autoSpaceDN w:val="0"/>
        <w:spacing w:line="360" w:lineRule="auto"/>
        <w:ind w:firstLine="480" w:firstLineChars="200"/>
        <w:rPr>
          <w:rFonts w:asciiTheme="minorEastAsia" w:hAnsiTheme="minorEastAsia" w:cstheme="minorEastAsia"/>
          <w:sz w:val="24"/>
          <w:szCs w:val="24"/>
        </w:rPr>
      </w:pPr>
      <w:r>
        <w:rPr>
          <w:rFonts w:hint="eastAsia" w:ascii="宋体" w:hAnsi="宋体" w:cs="宋体"/>
          <w:sz w:val="24"/>
          <w:szCs w:val="24"/>
        </w:rPr>
        <w:t>内蒙古大地云天化工有限公司60万吨/年缓控释肥装置、25万吨/年NPK装置化肥着色、包裹业务，包含跟班技术服务，染色技术方案，提供添加所需原料、控制设备并承担其原料、维护、检修费用。具体产品种类详见报价一览表。</w:t>
      </w:r>
    </w:p>
    <w:p>
      <w:pPr>
        <w:spacing w:line="360" w:lineRule="auto"/>
        <w:outlineLvl w:val="2"/>
        <w:rPr>
          <w:rFonts w:ascii="宋体" w:hAnsi="宋体"/>
          <w:b/>
          <w:bCs/>
          <w:sz w:val="24"/>
          <w:szCs w:val="24"/>
        </w:rPr>
      </w:pPr>
      <w:bookmarkStart w:id="4" w:name="_Toc24228"/>
      <w:r>
        <w:rPr>
          <w:rFonts w:hint="eastAsia" w:ascii="宋体" w:hAnsi="宋体"/>
          <w:b/>
          <w:bCs/>
          <w:sz w:val="24"/>
          <w:szCs w:val="24"/>
        </w:rPr>
        <w:t>3   询价要求</w:t>
      </w:r>
      <w:bookmarkEnd w:id="4"/>
    </w:p>
    <w:p>
      <w:pPr>
        <w:spacing w:line="360" w:lineRule="auto"/>
        <w:rPr>
          <w:rFonts w:ascii="宋体" w:hAnsi="宋体" w:eastAsia="宋体" w:cs="宋体"/>
          <w:sz w:val="24"/>
          <w:szCs w:val="24"/>
        </w:rPr>
      </w:pPr>
      <w:r>
        <w:rPr>
          <w:rFonts w:hint="eastAsia" w:ascii="宋体" w:hAnsi="宋体" w:eastAsia="宋体" w:cs="宋体"/>
          <w:sz w:val="24"/>
          <w:szCs w:val="24"/>
        </w:rPr>
        <w:t>3.1 业务内容：详见询价内容及要求。</w:t>
      </w:r>
    </w:p>
    <w:p>
      <w:pPr>
        <w:spacing w:line="360" w:lineRule="auto"/>
        <w:rPr>
          <w:rFonts w:ascii="宋体" w:hAnsi="宋体" w:eastAsia="宋体" w:cs="宋体"/>
          <w:sz w:val="24"/>
          <w:szCs w:val="24"/>
        </w:rPr>
      </w:pPr>
      <w:r>
        <w:rPr>
          <w:rFonts w:hint="eastAsia" w:ascii="宋体" w:hAnsi="宋体" w:eastAsia="宋体" w:cs="宋体"/>
          <w:sz w:val="24"/>
          <w:szCs w:val="24"/>
        </w:rPr>
        <w:t>3.2 业务运行需要的原料、设备（包括添加原料的自控设备、泵、L、a、b测色仪等）和人员，由报价人承担和负责配置。</w:t>
      </w:r>
    </w:p>
    <w:p>
      <w:pPr>
        <w:spacing w:line="360" w:lineRule="auto"/>
        <w:rPr>
          <w:rFonts w:ascii="宋体" w:hAnsi="宋体" w:eastAsia="宋体" w:cs="宋体"/>
          <w:sz w:val="24"/>
          <w:szCs w:val="24"/>
        </w:rPr>
      </w:pPr>
      <w:r>
        <w:rPr>
          <w:rFonts w:hint="eastAsia" w:ascii="宋体" w:hAnsi="宋体" w:eastAsia="宋体" w:cs="宋体"/>
          <w:sz w:val="24"/>
          <w:szCs w:val="24"/>
        </w:rPr>
        <w:t>3.3 报价人负责人员作业所需的统一着装的劳动保护用品和工器具的配置。</w:t>
      </w:r>
    </w:p>
    <w:p>
      <w:pPr>
        <w:spacing w:line="360" w:lineRule="auto"/>
        <w:rPr>
          <w:rFonts w:ascii="宋体" w:hAnsi="宋体" w:eastAsia="宋体" w:cs="宋体"/>
          <w:sz w:val="24"/>
          <w:szCs w:val="24"/>
        </w:rPr>
      </w:pPr>
      <w:r>
        <w:rPr>
          <w:rFonts w:hint="eastAsia" w:ascii="宋体" w:hAnsi="宋体" w:eastAsia="宋体" w:cs="宋体"/>
          <w:sz w:val="24"/>
          <w:szCs w:val="24"/>
        </w:rPr>
        <w:t>3.4 作业时间：正常生产时24小时连续作业。</w:t>
      </w:r>
    </w:p>
    <w:p>
      <w:pPr>
        <w:spacing w:line="360" w:lineRule="auto"/>
        <w:rPr>
          <w:rFonts w:ascii="宋体" w:hAnsi="宋体" w:eastAsia="宋体" w:cs="宋体"/>
          <w:sz w:val="24"/>
          <w:szCs w:val="24"/>
        </w:rPr>
      </w:pPr>
      <w:r>
        <w:rPr>
          <w:rFonts w:hint="eastAsia" w:ascii="宋体" w:hAnsi="宋体" w:eastAsia="宋体" w:cs="宋体"/>
          <w:sz w:val="24"/>
          <w:szCs w:val="24"/>
        </w:rPr>
        <w:t>3.5 作业方式：四班二倒或报价人认为合适的方式。</w:t>
      </w:r>
    </w:p>
    <w:p>
      <w:pPr>
        <w:spacing w:line="360" w:lineRule="auto"/>
        <w:rPr>
          <w:rFonts w:ascii="宋体" w:hAnsi="宋体" w:eastAsia="宋体" w:cs="宋体"/>
          <w:sz w:val="24"/>
          <w:szCs w:val="24"/>
        </w:rPr>
      </w:pPr>
      <w:r>
        <w:rPr>
          <w:rFonts w:hint="eastAsia" w:ascii="宋体" w:hAnsi="宋体" w:eastAsia="宋体" w:cs="宋体"/>
          <w:sz w:val="24"/>
          <w:szCs w:val="24"/>
        </w:rPr>
        <w:t>3.7 报价人负责运行和管理作业范围的环境卫生。</w:t>
      </w:r>
    </w:p>
    <w:p>
      <w:pPr>
        <w:spacing w:line="360" w:lineRule="auto"/>
        <w:rPr>
          <w:rFonts w:ascii="宋体" w:hAnsi="宋体" w:eastAsia="宋体" w:cs="宋体"/>
          <w:sz w:val="24"/>
          <w:szCs w:val="24"/>
        </w:rPr>
      </w:pPr>
      <w:r>
        <w:rPr>
          <w:rFonts w:hint="eastAsia" w:ascii="宋体" w:hAnsi="宋体" w:eastAsia="宋体" w:cs="宋体"/>
          <w:sz w:val="24"/>
          <w:szCs w:val="24"/>
        </w:rPr>
        <w:t>3.8 报价人必须服从询价人的管理规定和考核。</w:t>
      </w:r>
    </w:p>
    <w:p>
      <w:pPr>
        <w:spacing w:line="360" w:lineRule="auto"/>
        <w:rPr>
          <w:rFonts w:ascii="宋体" w:hAnsi="宋体" w:eastAsia="宋体" w:cs="宋体"/>
          <w:sz w:val="24"/>
          <w:szCs w:val="24"/>
        </w:rPr>
      </w:pPr>
      <w:r>
        <w:rPr>
          <w:rFonts w:hint="eastAsia" w:ascii="宋体" w:hAnsi="宋体" w:eastAsia="宋体" w:cs="宋体"/>
          <w:sz w:val="24"/>
          <w:szCs w:val="24"/>
        </w:rPr>
        <w:t>3.9 报价人必须提供合理可行的设备（设施）投入方案，组织方案和实施方案。</w:t>
      </w:r>
    </w:p>
    <w:p>
      <w:pPr>
        <w:spacing w:line="360" w:lineRule="auto"/>
        <w:outlineLvl w:val="2"/>
        <w:rPr>
          <w:rFonts w:ascii="宋体" w:hAnsi="宋体"/>
          <w:b/>
          <w:bCs/>
          <w:sz w:val="24"/>
          <w:szCs w:val="24"/>
        </w:rPr>
      </w:pPr>
      <w:bookmarkStart w:id="5" w:name="_Toc18581"/>
      <w:r>
        <w:rPr>
          <w:rFonts w:hint="eastAsia" w:ascii="宋体" w:hAnsi="宋体"/>
          <w:b/>
          <w:bCs/>
          <w:sz w:val="24"/>
          <w:szCs w:val="24"/>
        </w:rPr>
        <w:t>4资格审查：资格后审</w:t>
      </w:r>
      <w:r>
        <w:rPr>
          <w:rFonts w:hint="eastAsia" w:ascii="宋体" w:hAnsi="宋体"/>
          <w:sz w:val="24"/>
          <w:szCs w:val="24"/>
        </w:rPr>
        <w:t>。</w:t>
      </w:r>
      <w:bookmarkEnd w:id="5"/>
    </w:p>
    <w:p>
      <w:pPr>
        <w:spacing w:line="360" w:lineRule="auto"/>
        <w:outlineLvl w:val="2"/>
        <w:rPr>
          <w:rFonts w:ascii="宋体" w:hAnsi="宋体"/>
          <w:sz w:val="24"/>
          <w:szCs w:val="24"/>
        </w:rPr>
      </w:pPr>
      <w:bookmarkStart w:id="6" w:name="_Toc18052"/>
      <w:r>
        <w:rPr>
          <w:rFonts w:hint="eastAsia" w:ascii="宋体" w:hAnsi="宋体"/>
          <w:b/>
          <w:bCs/>
          <w:sz w:val="24"/>
          <w:szCs w:val="24"/>
        </w:rPr>
        <w:t>5</w:t>
      </w:r>
      <w:r>
        <w:rPr>
          <w:rFonts w:hint="eastAsia" w:ascii="宋体" w:hAnsi="宋体"/>
          <w:b/>
          <w:sz w:val="24"/>
          <w:szCs w:val="24"/>
        </w:rPr>
        <w:t>报价：</w:t>
      </w:r>
      <w:r>
        <w:rPr>
          <w:rFonts w:hint="eastAsia" w:ascii="宋体" w:hAnsi="宋体"/>
          <w:sz w:val="24"/>
          <w:szCs w:val="24"/>
        </w:rPr>
        <w:t>详见报价一览表。</w:t>
      </w:r>
      <w:bookmarkEnd w:id="6"/>
    </w:p>
    <w:p>
      <w:pPr>
        <w:spacing w:line="360" w:lineRule="auto"/>
        <w:outlineLvl w:val="2"/>
        <w:rPr>
          <w:rFonts w:ascii="宋体" w:hAnsi="宋体"/>
          <w:sz w:val="24"/>
          <w:szCs w:val="24"/>
        </w:rPr>
      </w:pPr>
      <w:bookmarkStart w:id="7" w:name="_Toc18593"/>
      <w:r>
        <w:rPr>
          <w:rFonts w:hint="eastAsia" w:ascii="宋体" w:hAnsi="宋体"/>
          <w:b/>
          <w:sz w:val="24"/>
          <w:szCs w:val="24"/>
        </w:rPr>
        <w:t>6报价人资格要求</w:t>
      </w:r>
      <w:bookmarkEnd w:id="7"/>
    </w:p>
    <w:p>
      <w:pPr>
        <w:spacing w:line="360" w:lineRule="auto"/>
        <w:rPr>
          <w:rFonts w:ascii="宋体" w:hAnsi="宋体" w:eastAsia="宋体" w:cs="宋体"/>
          <w:sz w:val="24"/>
          <w:szCs w:val="24"/>
        </w:rPr>
      </w:pPr>
      <w:r>
        <w:rPr>
          <w:rFonts w:hint="eastAsia" w:ascii="宋体" w:hAnsi="宋体" w:eastAsia="宋体" w:cs="宋体"/>
          <w:sz w:val="24"/>
          <w:szCs w:val="24"/>
        </w:rPr>
        <w:t>6.1 在中华人民共和国境内依法注册的具有独立法人资格，具有独立签订合同的权利和履行合同的能力，同时具有出具增值税发票的能力(提供增值税一般纳税人相应资格证明)。</w:t>
      </w:r>
    </w:p>
    <w:p>
      <w:pPr>
        <w:spacing w:line="360" w:lineRule="auto"/>
        <w:rPr>
          <w:rFonts w:ascii="宋体" w:hAnsi="宋体" w:eastAsia="宋体" w:cs="宋体"/>
          <w:sz w:val="24"/>
          <w:szCs w:val="24"/>
        </w:rPr>
      </w:pPr>
      <w:r>
        <w:rPr>
          <w:rFonts w:hint="eastAsia" w:ascii="宋体" w:hAnsi="宋体" w:eastAsia="宋体" w:cs="宋体"/>
          <w:sz w:val="24"/>
          <w:szCs w:val="24"/>
        </w:rPr>
        <w:t>6.2 报价人营业执照、组织机构代码证、税务登记证三证合一的新证真实有效，经营状况良好。</w:t>
      </w:r>
    </w:p>
    <w:p>
      <w:pPr>
        <w:spacing w:line="360" w:lineRule="auto"/>
        <w:rPr>
          <w:rFonts w:ascii="宋体" w:hAnsi="宋体" w:eastAsia="宋体" w:cs="宋体"/>
          <w:sz w:val="24"/>
        </w:rPr>
      </w:pPr>
      <w:bookmarkStart w:id="8" w:name="_Toc282823799"/>
      <w:bookmarkStart w:id="9" w:name="_Toc282843625"/>
      <w:bookmarkStart w:id="10" w:name="_Toc309657827"/>
      <w:r>
        <w:rPr>
          <w:rFonts w:ascii="宋体" w:hAnsi="宋体" w:eastAsia="宋体" w:cs="宋体"/>
          <w:sz w:val="24"/>
        </w:rPr>
        <w:t>6.</w:t>
      </w:r>
      <w:bookmarkStart w:id="11" w:name="_Hlk88829356"/>
      <w:r>
        <w:rPr>
          <w:rFonts w:ascii="宋体" w:hAnsi="宋体" w:eastAsia="宋体" w:cs="宋体"/>
          <w:sz w:val="24"/>
        </w:rPr>
        <w:t>3</w:t>
      </w:r>
      <w:r>
        <w:rPr>
          <w:rFonts w:hint="eastAsia" w:ascii="宋体" w:hAnsi="宋体" w:eastAsia="宋体" w:cs="宋体"/>
          <w:sz w:val="24"/>
        </w:rPr>
        <w:t>报价人应具备着色包裹的研发</w:t>
      </w:r>
      <w:bookmarkEnd w:id="11"/>
      <w:r>
        <w:rPr>
          <w:rFonts w:hint="eastAsia" w:ascii="宋体" w:hAnsi="宋体" w:eastAsia="宋体" w:cs="宋体"/>
          <w:sz w:val="24"/>
        </w:rPr>
        <w:t>、生产能力与服务能力。具有国内3家及以上磷复肥装置的服务业绩，且为每家服务时间不低于3个周期，服务期间无重大产品质量事故投诉，客户满意度良好，并提供相关证明资料。</w:t>
      </w:r>
    </w:p>
    <w:p>
      <w:pPr>
        <w:spacing w:line="360" w:lineRule="auto"/>
        <w:rPr>
          <w:rFonts w:ascii="宋体" w:hAnsi="宋体" w:eastAsia="宋体" w:cs="宋体"/>
          <w:sz w:val="24"/>
          <w:highlight w:val="yellow"/>
        </w:rPr>
      </w:pPr>
      <w:r>
        <w:rPr>
          <w:rFonts w:hint="eastAsia" w:ascii="宋体" w:hAnsi="宋体" w:eastAsia="宋体" w:cs="宋体"/>
          <w:sz w:val="24"/>
        </w:rPr>
        <w:t>6</w:t>
      </w:r>
      <w:r>
        <w:rPr>
          <w:rFonts w:ascii="宋体" w:hAnsi="宋体" w:eastAsia="宋体" w:cs="宋体"/>
          <w:sz w:val="24"/>
        </w:rPr>
        <w:t>.4</w:t>
      </w:r>
      <w:r>
        <w:rPr>
          <w:rFonts w:hint="eastAsia" w:ascii="宋体" w:hAnsi="宋体" w:eastAsia="宋体" w:cs="宋体"/>
          <w:sz w:val="24"/>
        </w:rPr>
        <w:t>报价人充分考虑北方冬季气候条件，具备应急供货能力。</w:t>
      </w:r>
      <w:r>
        <w:rPr>
          <w:rFonts w:ascii="宋体" w:hAnsi="宋体" w:eastAsia="宋体" w:cs="宋体"/>
          <w:sz w:val="24"/>
        </w:rPr>
        <w:t xml:space="preserve"> </w:t>
      </w:r>
    </w:p>
    <w:p>
      <w:pPr>
        <w:spacing w:line="360" w:lineRule="auto"/>
        <w:rPr>
          <w:rFonts w:ascii="宋体" w:hAnsi="宋体" w:eastAsia="宋体" w:cs="宋体"/>
          <w:sz w:val="24"/>
        </w:rPr>
      </w:pPr>
      <w:r>
        <w:rPr>
          <w:rFonts w:ascii="宋体" w:hAnsi="宋体" w:eastAsia="宋体" w:cs="宋体"/>
          <w:sz w:val="24"/>
        </w:rPr>
        <w:t>6.5</w:t>
      </w:r>
      <w:r>
        <w:rPr>
          <w:rFonts w:hint="eastAsia" w:ascii="宋体" w:hAnsi="宋体" w:eastAsia="宋体" w:cs="宋体"/>
          <w:sz w:val="24"/>
        </w:rPr>
        <w:t>报价人应具备提供绿色环保产品能力，并提供1</w:t>
      </w:r>
      <w:r>
        <w:rPr>
          <w:rFonts w:ascii="宋体" w:hAnsi="宋体" w:eastAsia="宋体" w:cs="宋体"/>
          <w:sz w:val="24"/>
        </w:rPr>
        <w:t>2</w:t>
      </w:r>
      <w:r>
        <w:rPr>
          <w:rFonts w:hint="eastAsia" w:ascii="宋体" w:hAnsi="宋体" w:eastAsia="宋体" w:cs="宋体"/>
          <w:sz w:val="24"/>
        </w:rPr>
        <w:t>个月内国内权威机构产品重金属检测合格证明。</w:t>
      </w:r>
    </w:p>
    <w:p>
      <w:pPr>
        <w:spacing w:line="360" w:lineRule="auto"/>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6</w:t>
      </w:r>
      <w:r>
        <w:rPr>
          <w:rFonts w:hint="eastAsia" w:ascii="宋体" w:hAnsi="宋体" w:eastAsia="宋体" w:cs="宋体"/>
          <w:sz w:val="24"/>
          <w:szCs w:val="24"/>
        </w:rPr>
        <w:t xml:space="preserve"> 报价人投入设备、人员及技须符合国家规定的要求和条件。</w:t>
      </w:r>
    </w:p>
    <w:p>
      <w:pPr>
        <w:spacing w:line="360" w:lineRule="auto"/>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7</w:t>
      </w:r>
      <w:r>
        <w:rPr>
          <w:rFonts w:hint="eastAsia" w:ascii="宋体" w:hAnsi="宋体" w:eastAsia="宋体" w:cs="宋体"/>
          <w:sz w:val="24"/>
          <w:szCs w:val="24"/>
        </w:rPr>
        <w:t xml:space="preserve"> 本次询价不接受联合体报价。</w:t>
      </w:r>
    </w:p>
    <w:bookmarkEnd w:id="8"/>
    <w:bookmarkEnd w:id="9"/>
    <w:bookmarkEnd w:id="10"/>
    <w:p>
      <w:pPr>
        <w:spacing w:line="360" w:lineRule="auto"/>
        <w:outlineLvl w:val="2"/>
        <w:rPr>
          <w:rFonts w:ascii="宋体" w:hAnsi="宋体"/>
          <w:b/>
          <w:sz w:val="24"/>
          <w:szCs w:val="24"/>
        </w:rPr>
      </w:pPr>
      <w:bookmarkStart w:id="12" w:name="_Toc252"/>
      <w:r>
        <w:rPr>
          <w:rFonts w:hint="eastAsia" w:ascii="宋体" w:hAnsi="宋体"/>
          <w:b/>
          <w:sz w:val="24"/>
          <w:szCs w:val="24"/>
        </w:rPr>
        <w:t>7  授予合同</w:t>
      </w:r>
      <w:bookmarkEnd w:id="12"/>
    </w:p>
    <w:p>
      <w:pPr>
        <w:spacing w:line="360" w:lineRule="auto"/>
        <w:rPr>
          <w:rFonts w:ascii="宋体" w:hAnsi="宋体" w:eastAsia="宋体" w:cs="宋体"/>
          <w:sz w:val="24"/>
          <w:szCs w:val="24"/>
        </w:rPr>
      </w:pPr>
      <w:r>
        <w:rPr>
          <w:rFonts w:hint="eastAsia" w:ascii="宋体" w:hAnsi="宋体" w:eastAsia="宋体" w:cs="宋体"/>
          <w:sz w:val="24"/>
          <w:szCs w:val="24"/>
        </w:rPr>
        <w:t>7.1询价人有权将合同授予一家、两家或三家中标候选人。</w:t>
      </w:r>
    </w:p>
    <w:p>
      <w:pPr>
        <w:spacing w:line="360" w:lineRule="auto"/>
        <w:rPr>
          <w:rFonts w:ascii="宋体" w:hAnsi="宋体" w:eastAsia="宋体" w:cs="宋体"/>
          <w:sz w:val="24"/>
          <w:szCs w:val="24"/>
        </w:rPr>
      </w:pPr>
      <w:r>
        <w:rPr>
          <w:rFonts w:hint="eastAsia" w:ascii="宋体" w:hAnsi="宋体" w:eastAsia="宋体" w:cs="宋体"/>
          <w:sz w:val="24"/>
          <w:szCs w:val="24"/>
        </w:rPr>
        <w:t>7.2 合同期限：2年（详见第六章：合同条款）。</w:t>
      </w:r>
    </w:p>
    <w:p>
      <w:pPr>
        <w:spacing w:line="360" w:lineRule="auto"/>
        <w:outlineLvl w:val="2"/>
        <w:rPr>
          <w:rFonts w:ascii="宋体" w:hAnsi="宋体"/>
          <w:b/>
          <w:sz w:val="24"/>
          <w:szCs w:val="24"/>
        </w:rPr>
      </w:pPr>
      <w:r>
        <w:rPr>
          <w:rFonts w:hint="eastAsia" w:ascii="宋体" w:hAnsi="宋体"/>
          <w:b/>
          <w:sz w:val="24"/>
          <w:szCs w:val="24"/>
        </w:rPr>
        <w:t>8、询价工作安排</w:t>
      </w:r>
    </w:p>
    <w:p>
      <w:pPr>
        <w:spacing w:line="360" w:lineRule="auto"/>
        <w:rPr>
          <w:rFonts w:ascii="宋体" w:hAnsi="宋体" w:eastAsia="宋体" w:cs="宋体"/>
          <w:sz w:val="24"/>
          <w:szCs w:val="24"/>
        </w:rPr>
      </w:pPr>
      <w:r>
        <w:rPr>
          <w:rFonts w:hint="eastAsia" w:ascii="宋体" w:hAnsi="宋体" w:eastAsia="宋体" w:cs="宋体"/>
          <w:sz w:val="24"/>
          <w:szCs w:val="24"/>
        </w:rPr>
        <w:t>各报价单位自行进行现场踏勘。</w:t>
      </w:r>
    </w:p>
    <w:p>
      <w:pPr>
        <w:spacing w:line="360" w:lineRule="auto"/>
        <w:rPr>
          <w:rFonts w:ascii="宋体" w:hAnsi="宋体" w:eastAsia="宋体" w:cs="宋体"/>
          <w:sz w:val="24"/>
          <w:szCs w:val="24"/>
        </w:rPr>
      </w:pPr>
      <w:r>
        <w:rPr>
          <w:rFonts w:hint="eastAsia" w:ascii="宋体" w:hAnsi="宋体" w:eastAsia="宋体" w:cs="宋体"/>
          <w:sz w:val="24"/>
          <w:szCs w:val="24"/>
        </w:rPr>
        <w:t>报价文件份数：正本1份，副本1份，可编辑电子版一份，密封后递交。</w:t>
      </w:r>
    </w:p>
    <w:p>
      <w:pPr>
        <w:spacing w:line="360" w:lineRule="auto"/>
        <w:rPr>
          <w:rFonts w:ascii="宋体" w:hAnsi="宋体" w:eastAsia="宋体" w:cs="宋体"/>
          <w:sz w:val="24"/>
          <w:szCs w:val="24"/>
        </w:rPr>
      </w:pPr>
      <w:r>
        <w:rPr>
          <w:rFonts w:hint="eastAsia" w:ascii="宋体" w:hAnsi="宋体" w:eastAsia="宋体" w:cs="宋体"/>
          <w:sz w:val="24"/>
          <w:szCs w:val="24"/>
        </w:rPr>
        <w:t>报价文件递交地点和截止时间：报价文件必须在</w:t>
      </w:r>
      <w:r>
        <w:rPr>
          <w:rFonts w:hint="eastAsia" w:ascii="宋体" w:hAnsi="宋体" w:eastAsia="宋体" w:cs="宋体"/>
          <w:sz w:val="24"/>
          <w:szCs w:val="24"/>
          <w:highlight w:val="yellow"/>
        </w:rPr>
        <w:t>2021年</w:t>
      </w:r>
      <w:r>
        <w:rPr>
          <w:rFonts w:ascii="宋体" w:hAnsi="宋体" w:eastAsia="宋体" w:cs="宋体"/>
          <w:sz w:val="24"/>
          <w:szCs w:val="24"/>
          <w:highlight w:val="yellow"/>
        </w:rPr>
        <w:t>12</w:t>
      </w:r>
      <w:r>
        <w:rPr>
          <w:rFonts w:hint="eastAsia" w:ascii="宋体" w:hAnsi="宋体" w:eastAsia="宋体" w:cs="宋体"/>
          <w:sz w:val="24"/>
          <w:szCs w:val="24"/>
          <w:highlight w:val="yellow"/>
        </w:rPr>
        <w:t>月</w:t>
      </w:r>
      <w:r>
        <w:rPr>
          <w:rFonts w:ascii="宋体" w:hAnsi="宋体" w:eastAsia="宋体" w:cs="宋体"/>
          <w:sz w:val="24"/>
          <w:szCs w:val="24"/>
          <w:highlight w:val="yellow"/>
        </w:rPr>
        <w:t>21</w:t>
      </w:r>
      <w:r>
        <w:rPr>
          <w:rFonts w:hint="eastAsia" w:ascii="宋体" w:hAnsi="宋体" w:eastAsia="宋体" w:cs="宋体"/>
          <w:sz w:val="24"/>
          <w:szCs w:val="24"/>
          <w:highlight w:val="yellow"/>
        </w:rPr>
        <w:t>日1</w:t>
      </w:r>
      <w:r>
        <w:rPr>
          <w:rFonts w:hint="eastAsia" w:ascii="宋体" w:hAnsi="宋体" w:eastAsia="宋体" w:cs="宋体"/>
          <w:sz w:val="24"/>
          <w:szCs w:val="24"/>
          <w:highlight w:val="yellow"/>
          <w:lang w:val="en-US" w:eastAsia="zh-CN"/>
        </w:rPr>
        <w:t>5</w:t>
      </w:r>
      <w:r>
        <w:rPr>
          <w:rFonts w:hint="eastAsia" w:ascii="宋体" w:hAnsi="宋体" w:eastAsia="宋体" w:cs="宋体"/>
          <w:sz w:val="24"/>
          <w:szCs w:val="24"/>
          <w:highlight w:val="yellow"/>
        </w:rPr>
        <w:t>:00时前</w:t>
      </w:r>
      <w:r>
        <w:rPr>
          <w:rFonts w:hint="eastAsia" w:ascii="宋体" w:hAnsi="宋体" w:eastAsia="宋体" w:cs="宋体"/>
          <w:sz w:val="24"/>
          <w:szCs w:val="24"/>
        </w:rPr>
        <w:t>送达内蒙古赤峰市元宝山镇开发区内蒙古大地云天化工有限公司3楼工程部。</w:t>
      </w:r>
    </w:p>
    <w:p>
      <w:pPr>
        <w:spacing w:line="360" w:lineRule="auto"/>
        <w:rPr>
          <w:rFonts w:ascii="宋体" w:hAnsi="宋体" w:eastAsia="宋体" w:cs="宋体"/>
          <w:sz w:val="24"/>
          <w:szCs w:val="24"/>
        </w:rPr>
      </w:pPr>
      <w:r>
        <w:rPr>
          <w:rFonts w:hint="eastAsia" w:ascii="宋体" w:hAnsi="宋体" w:eastAsia="宋体" w:cs="宋体"/>
          <w:sz w:val="24"/>
          <w:szCs w:val="24"/>
        </w:rPr>
        <w:t>逾期送达的或者未送达指定地点的报价文件，询价人不予受理。</w:t>
      </w:r>
    </w:p>
    <w:p>
      <w:pPr>
        <w:spacing w:line="360" w:lineRule="auto"/>
        <w:outlineLvl w:val="2"/>
        <w:rPr>
          <w:rFonts w:ascii="宋体" w:hAnsi="宋体"/>
          <w:b/>
          <w:sz w:val="24"/>
          <w:szCs w:val="24"/>
        </w:rPr>
      </w:pPr>
      <w:r>
        <w:rPr>
          <w:rFonts w:hint="eastAsia" w:ascii="宋体" w:hAnsi="宋体"/>
          <w:b/>
          <w:sz w:val="24"/>
          <w:szCs w:val="24"/>
        </w:rPr>
        <w:t>9、询价公告发布媒体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询价事宜均须与我公司指定人员联系，我公司对任何转载信息及由此产生的后果均不承担任何责任。</w:t>
      </w:r>
    </w:p>
    <w:p>
      <w:pPr>
        <w:spacing w:line="360" w:lineRule="auto"/>
        <w:outlineLvl w:val="2"/>
        <w:rPr>
          <w:rFonts w:ascii="宋体" w:hAnsi="宋体"/>
          <w:b/>
          <w:sz w:val="24"/>
          <w:szCs w:val="24"/>
        </w:rPr>
      </w:pPr>
      <w:r>
        <w:rPr>
          <w:rFonts w:hint="eastAsia" w:ascii="宋体" w:hAnsi="宋体"/>
          <w:b/>
          <w:sz w:val="24"/>
          <w:szCs w:val="24"/>
        </w:rPr>
        <w:t>1</w:t>
      </w:r>
      <w:r>
        <w:rPr>
          <w:rFonts w:ascii="宋体" w:hAnsi="宋体"/>
          <w:b/>
          <w:sz w:val="24"/>
          <w:szCs w:val="24"/>
        </w:rPr>
        <w:t>0</w:t>
      </w:r>
      <w:r>
        <w:rPr>
          <w:rFonts w:hint="eastAsia" w:ascii="宋体" w:hAnsi="宋体"/>
          <w:b/>
          <w:sz w:val="24"/>
          <w:szCs w:val="24"/>
        </w:rPr>
        <w:t>、联系方式</w:t>
      </w:r>
    </w:p>
    <w:p>
      <w:pPr>
        <w:spacing w:line="360" w:lineRule="auto"/>
        <w:rPr>
          <w:rFonts w:ascii="宋体" w:hAnsi="宋体" w:eastAsia="宋体" w:cs="宋体"/>
          <w:sz w:val="24"/>
          <w:szCs w:val="24"/>
        </w:rPr>
      </w:pPr>
      <w:r>
        <w:rPr>
          <w:rFonts w:hint="eastAsia" w:ascii="宋体" w:hAnsi="宋体" w:eastAsia="宋体" w:cs="宋体"/>
          <w:sz w:val="24"/>
          <w:szCs w:val="24"/>
        </w:rPr>
        <w:t>询价 人：内蒙古大地云天化工有限公司</w:t>
      </w:r>
    </w:p>
    <w:p>
      <w:pPr>
        <w:spacing w:line="360" w:lineRule="auto"/>
        <w:rPr>
          <w:rFonts w:ascii="宋体" w:hAnsi="宋体" w:eastAsia="宋体" w:cs="宋体"/>
          <w:sz w:val="24"/>
          <w:szCs w:val="24"/>
        </w:rPr>
      </w:pPr>
      <w:r>
        <w:rPr>
          <w:rFonts w:hint="eastAsia" w:ascii="宋体" w:hAnsi="宋体" w:eastAsia="宋体" w:cs="宋体"/>
          <w:sz w:val="24"/>
          <w:szCs w:val="24"/>
        </w:rPr>
        <w:t>联系地址：内蒙古赤峰市元宝山镇开发区内蒙古大地云天化工有限公司3楼工程部</w:t>
      </w:r>
    </w:p>
    <w:p>
      <w:pPr>
        <w:spacing w:line="360" w:lineRule="auto"/>
        <w:rPr>
          <w:rFonts w:ascii="宋体" w:hAnsi="宋体" w:eastAsia="宋体" w:cs="宋体"/>
          <w:sz w:val="24"/>
          <w:szCs w:val="24"/>
        </w:rPr>
      </w:pPr>
      <w:r>
        <w:rPr>
          <w:rFonts w:hint="eastAsia" w:ascii="宋体" w:hAnsi="宋体" w:eastAsia="宋体" w:cs="宋体"/>
          <w:sz w:val="24"/>
          <w:szCs w:val="24"/>
        </w:rPr>
        <w:t>联系人及电话：罗艳玲  17547612206</w:t>
      </w:r>
    </w:p>
    <w:p>
      <w:pPr>
        <w:spacing w:line="360" w:lineRule="auto"/>
        <w:rPr>
          <w:rFonts w:ascii="宋体" w:hAnsi="宋体" w:eastAsia="宋体" w:cs="宋体"/>
          <w:sz w:val="24"/>
          <w:szCs w:val="24"/>
        </w:rPr>
      </w:pPr>
      <w:r>
        <w:rPr>
          <w:rFonts w:hint="eastAsia" w:ascii="宋体" w:hAnsi="宋体" w:eastAsia="宋体" w:cs="宋体"/>
          <w:sz w:val="24"/>
          <w:szCs w:val="24"/>
        </w:rPr>
        <w:t>传真： 0476-5922000</w:t>
      </w:r>
      <w:r>
        <w:rPr>
          <w:rFonts w:ascii="宋体" w:hAnsi="宋体" w:eastAsia="宋体" w:cs="宋体"/>
          <w:sz w:val="24"/>
          <w:szCs w:val="24"/>
        </w:rPr>
        <w:t xml:space="preserve">   </w:t>
      </w:r>
      <w:r>
        <w:rPr>
          <w:rFonts w:hint="eastAsia" w:ascii="宋体" w:hAnsi="宋体" w:eastAsia="宋体" w:cs="宋体"/>
          <w:sz w:val="24"/>
          <w:szCs w:val="24"/>
        </w:rPr>
        <w:t>电子邮箱：ddytzb@126.com</w:t>
      </w:r>
    </w:p>
    <w:p>
      <w:pPr>
        <w:pStyle w:val="2"/>
        <w:spacing w:before="0" w:after="0" w:line="360" w:lineRule="auto"/>
        <w:jc w:val="center"/>
        <w:rPr>
          <w:rFonts w:ascii="宋体" w:hAnsi="宋体"/>
          <w:bCs w:val="0"/>
          <w:w w:val="90"/>
        </w:rPr>
      </w:pPr>
      <w:bookmarkStart w:id="13" w:name="_Toc155772020"/>
      <w:bookmarkStart w:id="14" w:name="_Toc3072"/>
      <w:r>
        <w:rPr>
          <w:rFonts w:hint="eastAsia" w:ascii="宋体" w:hAnsi="宋体"/>
          <w:bCs w:val="0"/>
          <w:w w:val="90"/>
        </w:rPr>
        <w:t>第二章  报价人须知前附表</w:t>
      </w:r>
      <w:bookmarkEnd w:id="13"/>
      <w:bookmarkEnd w:id="14"/>
    </w:p>
    <w:p>
      <w:pPr>
        <w:spacing w:line="360" w:lineRule="auto"/>
        <w:rPr>
          <w:rFonts w:ascii="宋体" w:hAnsi="宋体"/>
          <w:sz w:val="24"/>
          <w:szCs w:val="24"/>
        </w:rPr>
      </w:pPr>
      <w:r>
        <w:rPr>
          <w:rFonts w:hint="eastAsia" w:ascii="宋体" w:hAnsi="宋体"/>
          <w:sz w:val="24"/>
          <w:szCs w:val="24"/>
        </w:rPr>
        <w:t xml:space="preserve">  本表是对报价人须知的具体要求，如有矛盾，应以本表为准。</w:t>
      </w:r>
    </w:p>
    <w:tbl>
      <w:tblPr>
        <w:tblStyle w:val="18"/>
        <w:tblW w:w="92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80"/>
        <w:gridCol w:w="83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7" w:hRule="atLeast"/>
          <w:tblHeader/>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条款号</w:t>
            </w:r>
          </w:p>
        </w:tc>
        <w:tc>
          <w:tcPr>
            <w:tcW w:w="8392" w:type="dxa"/>
            <w:vAlign w:val="center"/>
          </w:tcPr>
          <w:p>
            <w:pPr>
              <w:spacing w:line="360" w:lineRule="auto"/>
              <w:jc w:val="center"/>
              <w:rPr>
                <w:rFonts w:ascii="宋体" w:hAnsi="宋体"/>
                <w:sz w:val="24"/>
                <w:szCs w:val="24"/>
              </w:rPr>
            </w:pPr>
            <w:r>
              <w:rPr>
                <w:rFonts w:hint="eastAsia" w:ascii="宋体" w:hAnsi="宋体"/>
                <w:sz w:val="24"/>
                <w:szCs w:val="24"/>
              </w:rPr>
              <w:t xml:space="preserve">内容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8"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8392" w:type="dxa"/>
            <w:vAlign w:val="center"/>
          </w:tcPr>
          <w:p>
            <w:pPr>
              <w:spacing w:line="360" w:lineRule="auto"/>
              <w:rPr>
                <w:rFonts w:ascii="宋体" w:hAnsi="宋体"/>
                <w:sz w:val="24"/>
                <w:szCs w:val="24"/>
              </w:rPr>
            </w:pPr>
            <w:r>
              <w:rPr>
                <w:rFonts w:hint="eastAsia" w:ascii="宋体" w:hAnsi="宋体"/>
                <w:sz w:val="24"/>
                <w:szCs w:val="24"/>
              </w:rPr>
              <w:t>询价人：内蒙古大地云天化工有限公司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61"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8392" w:type="dxa"/>
            <w:vAlign w:val="center"/>
          </w:tcPr>
          <w:p>
            <w:pPr>
              <w:spacing w:line="480" w:lineRule="auto"/>
              <w:rPr>
                <w:rFonts w:asciiTheme="minorEastAsia" w:hAnsiTheme="minorEastAsia" w:cstheme="minorEastAsia"/>
                <w:bCs/>
                <w:sz w:val="24"/>
                <w:szCs w:val="24"/>
              </w:rPr>
            </w:pPr>
            <w:r>
              <w:rPr>
                <w:rFonts w:hint="eastAsia" w:asciiTheme="minorEastAsia" w:hAnsiTheme="minorEastAsia"/>
                <w:sz w:val="24"/>
                <w:szCs w:val="24"/>
              </w:rPr>
              <w:t>1</w:t>
            </w:r>
            <w:r>
              <w:rPr>
                <w:rFonts w:hint="eastAsia" w:asciiTheme="minorEastAsia" w:hAnsiTheme="minorEastAsia"/>
                <w:kern w:val="0"/>
                <w:sz w:val="24"/>
                <w:szCs w:val="24"/>
              </w:rPr>
              <w:t>、</w:t>
            </w:r>
            <w:r>
              <w:rPr>
                <w:rFonts w:hint="eastAsia" w:ascii="宋体" w:hAnsi="宋体"/>
                <w:sz w:val="24"/>
                <w:szCs w:val="24"/>
              </w:rPr>
              <w:t>项目名称：化肥着色、包裹技术服务承包项目。</w:t>
            </w:r>
          </w:p>
          <w:p>
            <w:pPr>
              <w:spacing w:line="360" w:lineRule="auto"/>
              <w:rPr>
                <w:rFonts w:ascii="宋体" w:hAnsi="宋体" w:eastAsia="宋体" w:cs="宋体"/>
                <w:sz w:val="24"/>
                <w:szCs w:val="24"/>
              </w:rPr>
            </w:pPr>
            <w:r>
              <w:rPr>
                <w:rFonts w:hint="eastAsia" w:ascii="宋体" w:hAnsi="宋体" w:eastAsia="宋体" w:cs="宋体"/>
                <w:sz w:val="24"/>
                <w:szCs w:val="24"/>
              </w:rPr>
              <w:t>2、承包业务运行需要的原料、设备（包括添加原料的自控设备、泵、L、a、b测色仪等）和人员，由报价人承担和负责配置。</w:t>
            </w:r>
          </w:p>
          <w:p>
            <w:pPr>
              <w:rPr>
                <w:rFonts w:ascii="宋体" w:hAnsi="宋体" w:eastAsia="宋体" w:cs="宋体"/>
                <w:sz w:val="24"/>
                <w:szCs w:val="24"/>
              </w:rPr>
            </w:pPr>
          </w:p>
          <w:p>
            <w:pPr>
              <w:spacing w:line="276" w:lineRule="auto"/>
              <w:rPr>
                <w:rFonts w:ascii="宋体" w:hAnsi="宋体" w:eastAsia="宋体" w:cs="宋体"/>
                <w:sz w:val="24"/>
                <w:szCs w:val="24"/>
              </w:rPr>
            </w:pPr>
            <w:r>
              <w:rPr>
                <w:rFonts w:hint="eastAsia" w:ascii="宋体" w:hAnsi="宋体" w:eastAsia="宋体" w:cs="宋体"/>
                <w:sz w:val="24"/>
                <w:szCs w:val="24"/>
              </w:rPr>
              <w:t>3、 作业方式：详见第四章：询价内容及要求。</w:t>
            </w:r>
          </w:p>
          <w:p>
            <w:pPr>
              <w:spacing w:line="276"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28"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3</w:t>
            </w:r>
          </w:p>
        </w:tc>
        <w:tc>
          <w:tcPr>
            <w:tcW w:w="8392"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联系地址：内蒙古赤峰市元宝山镇开发区内蒙古大地云天化工有限公司3楼工程部</w:t>
            </w:r>
          </w:p>
          <w:p>
            <w:pPr>
              <w:spacing w:line="360" w:lineRule="auto"/>
              <w:rPr>
                <w:rFonts w:ascii="宋体" w:hAnsi="宋体" w:eastAsia="宋体" w:cs="宋体"/>
                <w:sz w:val="24"/>
                <w:szCs w:val="24"/>
              </w:rPr>
            </w:pPr>
            <w:r>
              <w:rPr>
                <w:rFonts w:hint="eastAsia" w:ascii="宋体" w:hAnsi="宋体" w:eastAsia="宋体" w:cs="宋体"/>
                <w:sz w:val="24"/>
                <w:szCs w:val="24"/>
              </w:rPr>
              <w:t>联系人及电话：罗艳玲  17547612206</w:t>
            </w:r>
          </w:p>
          <w:p>
            <w:pPr>
              <w:spacing w:line="360" w:lineRule="auto"/>
              <w:rPr>
                <w:rFonts w:ascii="宋体" w:hAnsi="宋体" w:eastAsia="宋体" w:cs="宋体"/>
                <w:sz w:val="24"/>
                <w:szCs w:val="24"/>
              </w:rPr>
            </w:pPr>
            <w:r>
              <w:rPr>
                <w:rFonts w:hint="eastAsia" w:ascii="宋体" w:hAnsi="宋体" w:eastAsia="宋体" w:cs="宋体"/>
                <w:sz w:val="24"/>
                <w:szCs w:val="24"/>
              </w:rPr>
              <w:t>传真： 0476-5922000</w:t>
            </w:r>
          </w:p>
          <w:p>
            <w:pPr>
              <w:spacing w:line="360" w:lineRule="auto"/>
              <w:rPr>
                <w:rFonts w:ascii="宋体" w:hAnsi="宋体"/>
                <w:sz w:val="24"/>
                <w:szCs w:val="24"/>
              </w:rPr>
            </w:pPr>
            <w:r>
              <w:rPr>
                <w:rFonts w:hint="eastAsia" w:ascii="宋体" w:hAnsi="宋体" w:eastAsia="宋体" w:cs="宋体"/>
                <w:sz w:val="24"/>
                <w:szCs w:val="24"/>
              </w:rPr>
              <w:t>电子邮箱：ddytzb@126.com</w:t>
            </w: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rPr>
                <w:rFonts w:ascii="宋体" w:hAnsi="宋体"/>
                <w:sz w:val="24"/>
                <w:szCs w:val="24"/>
              </w:rPr>
            </w:pPr>
            <w:r>
              <w:fldChar w:fldCharType="begin"/>
            </w:r>
            <w:r>
              <w:instrText xml:space="preserve"> HYPERLINK "mailto:zhoufz-ds@petrochina.com.cn" </w:instrText>
            </w:r>
            <w:r>
              <w:fldChar w:fldCharType="separate"/>
            </w:r>
            <w: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报价人资格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72"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4</w:t>
            </w:r>
          </w:p>
        </w:tc>
        <w:tc>
          <w:tcPr>
            <w:tcW w:w="8392" w:type="dxa"/>
            <w:vAlign w:val="center"/>
          </w:tcPr>
          <w:p>
            <w:pPr>
              <w:spacing w:line="300" w:lineRule="auto"/>
              <w:outlineLvl w:val="2"/>
              <w:rPr>
                <w:rFonts w:ascii="宋体" w:hAnsi="宋体"/>
                <w:sz w:val="24"/>
                <w:szCs w:val="24"/>
              </w:rPr>
            </w:pPr>
            <w:r>
              <w:rPr>
                <w:rFonts w:hint="eastAsia" w:ascii="宋体" w:hAnsi="宋体"/>
                <w:sz w:val="24"/>
                <w:szCs w:val="24"/>
              </w:rPr>
              <w:t>1、在中华人民共和国境内依法注册的具有独立法人资格，具有独立签订合同的权利和履行合同的能力，同时具有出具增值税发票的能力(提供增值税一般纳税人相应资格证明)。</w:t>
            </w:r>
          </w:p>
          <w:p>
            <w:pPr>
              <w:spacing w:line="300" w:lineRule="auto"/>
              <w:outlineLvl w:val="2"/>
              <w:rPr>
                <w:rFonts w:ascii="宋体" w:hAnsi="宋体"/>
                <w:sz w:val="24"/>
                <w:szCs w:val="24"/>
              </w:rPr>
            </w:pPr>
            <w:r>
              <w:rPr>
                <w:rFonts w:ascii="宋体" w:hAnsi="宋体"/>
                <w:sz w:val="24"/>
                <w:szCs w:val="24"/>
              </w:rPr>
              <w:t>2</w:t>
            </w:r>
            <w:r>
              <w:rPr>
                <w:rFonts w:hint="eastAsia" w:ascii="宋体" w:hAnsi="宋体"/>
                <w:sz w:val="24"/>
                <w:szCs w:val="24"/>
              </w:rPr>
              <w:t>、报价人营业执照、组织机构代码证、税务登记证三证合一的新证真实有效，经营状况良好。</w:t>
            </w:r>
          </w:p>
          <w:p>
            <w:pPr>
              <w:spacing w:line="300" w:lineRule="auto"/>
              <w:outlineLvl w:val="2"/>
              <w:rPr>
                <w:rFonts w:ascii="宋体" w:hAnsi="宋体"/>
                <w:sz w:val="24"/>
                <w:szCs w:val="24"/>
              </w:rPr>
            </w:pPr>
            <w:r>
              <w:rPr>
                <w:rFonts w:hint="eastAsia" w:ascii="宋体" w:hAnsi="宋体"/>
                <w:sz w:val="24"/>
                <w:szCs w:val="24"/>
              </w:rPr>
              <w:t>3、报价人应具备着色包裹的研发、生产能力与服务能力。具有国内3家及以上磷复肥装置的服务业绩，且为每家服务时间不低于3个周期，服务期间无重大产品质量事故投诉，客户满意度良好，并提供相关证明资料。</w:t>
            </w:r>
          </w:p>
          <w:p>
            <w:pPr>
              <w:spacing w:line="300" w:lineRule="auto"/>
              <w:outlineLvl w:val="2"/>
              <w:rPr>
                <w:rFonts w:ascii="宋体" w:hAnsi="宋体"/>
                <w:sz w:val="24"/>
                <w:szCs w:val="24"/>
              </w:rPr>
            </w:pPr>
            <w:r>
              <w:rPr>
                <w:rFonts w:hint="eastAsia" w:ascii="宋体" w:hAnsi="宋体"/>
                <w:sz w:val="24"/>
                <w:szCs w:val="24"/>
              </w:rPr>
              <w:t xml:space="preserve">4、报价人充分考虑北方冬季气候条件，具备应急供货能力。 </w:t>
            </w:r>
          </w:p>
          <w:p>
            <w:pPr>
              <w:spacing w:line="300" w:lineRule="auto"/>
              <w:outlineLvl w:val="2"/>
              <w:rPr>
                <w:rFonts w:ascii="宋体" w:hAnsi="宋体"/>
                <w:sz w:val="24"/>
                <w:szCs w:val="24"/>
              </w:rPr>
            </w:pPr>
            <w:r>
              <w:rPr>
                <w:rFonts w:hint="eastAsia" w:ascii="宋体" w:hAnsi="宋体"/>
                <w:sz w:val="24"/>
                <w:szCs w:val="24"/>
              </w:rPr>
              <w:t>5、报价人应具备提供绿色环保产品能力，并提供12个月内国内权威机构产品重金属检测合格证明。</w:t>
            </w:r>
          </w:p>
          <w:p>
            <w:pPr>
              <w:spacing w:line="300" w:lineRule="auto"/>
              <w:outlineLvl w:val="2"/>
              <w:rPr>
                <w:rFonts w:ascii="宋体" w:hAnsi="宋体"/>
                <w:sz w:val="24"/>
                <w:szCs w:val="24"/>
              </w:rPr>
            </w:pPr>
            <w:r>
              <w:rPr>
                <w:rFonts w:hint="eastAsia" w:ascii="宋体" w:hAnsi="宋体"/>
                <w:sz w:val="24"/>
                <w:szCs w:val="24"/>
              </w:rPr>
              <w:t>6、 报价人投入设备、人员及技须符合国家规定的要求和条件。</w:t>
            </w:r>
          </w:p>
          <w:p>
            <w:pPr>
              <w:spacing w:line="300" w:lineRule="auto"/>
              <w:outlineLvl w:val="2"/>
              <w:rPr>
                <w:rFonts w:ascii="宋体" w:hAnsi="宋体"/>
                <w:b/>
                <w:sz w:val="24"/>
                <w:szCs w:val="24"/>
              </w:rPr>
            </w:pPr>
            <w:r>
              <w:rPr>
                <w:rFonts w:hint="eastAsia" w:ascii="宋体" w:hAnsi="宋体"/>
                <w:sz w:val="24"/>
                <w:szCs w:val="24"/>
              </w:rPr>
              <w:t>7、 本次询价不接受联合体报价。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0"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报价文件的编制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25" w:hRule="atLeast"/>
          <w:jc w:val="center"/>
        </w:trPr>
        <w:tc>
          <w:tcPr>
            <w:tcW w:w="880" w:type="dxa"/>
            <w:vAlign w:val="center"/>
          </w:tcPr>
          <w:p>
            <w:pPr>
              <w:spacing w:line="360" w:lineRule="auto"/>
              <w:jc w:val="center"/>
              <w:rPr>
                <w:rFonts w:ascii="宋体" w:hAnsi="宋体"/>
                <w:sz w:val="24"/>
                <w:szCs w:val="24"/>
              </w:rPr>
            </w:pPr>
            <w:r>
              <w:rPr>
                <w:rFonts w:ascii="宋体" w:hAnsi="宋体"/>
                <w:sz w:val="24"/>
                <w:szCs w:val="24"/>
              </w:rPr>
              <w:t>1</w:t>
            </w:r>
          </w:p>
        </w:tc>
        <w:tc>
          <w:tcPr>
            <w:tcW w:w="8392" w:type="dxa"/>
            <w:vAlign w:val="center"/>
          </w:tcPr>
          <w:p>
            <w:pPr>
              <w:spacing w:line="300" w:lineRule="auto"/>
              <w:rPr>
                <w:rFonts w:ascii="宋体" w:hAnsi="宋体"/>
                <w:sz w:val="24"/>
                <w:szCs w:val="24"/>
              </w:rPr>
            </w:pPr>
            <w:r>
              <w:rPr>
                <w:rFonts w:hint="eastAsia" w:ascii="宋体" w:hAnsi="宋体"/>
                <w:sz w:val="24"/>
                <w:szCs w:val="24"/>
              </w:rPr>
              <w:t>包括但不限于：</w:t>
            </w:r>
          </w:p>
          <w:p>
            <w:pPr>
              <w:spacing w:line="300" w:lineRule="auto"/>
              <w:rPr>
                <w:rFonts w:ascii="宋体" w:hAnsi="宋体"/>
                <w:sz w:val="24"/>
                <w:szCs w:val="24"/>
              </w:rPr>
            </w:pPr>
            <w:r>
              <w:rPr>
                <w:rFonts w:hint="eastAsia" w:ascii="宋体" w:hAnsi="宋体"/>
                <w:sz w:val="24"/>
                <w:szCs w:val="24"/>
              </w:rPr>
              <w:t>1、资格证明文件</w:t>
            </w:r>
          </w:p>
          <w:p>
            <w:pPr>
              <w:spacing w:line="300" w:lineRule="auto"/>
              <w:rPr>
                <w:rFonts w:ascii="宋体" w:hAnsi="宋体"/>
                <w:sz w:val="24"/>
                <w:szCs w:val="24"/>
              </w:rPr>
            </w:pPr>
            <w:r>
              <w:rPr>
                <w:rFonts w:hint="eastAsia" w:ascii="宋体" w:hAnsi="宋体"/>
                <w:sz w:val="24"/>
                <w:szCs w:val="24"/>
              </w:rPr>
              <w:t>2、商务响应文件</w:t>
            </w:r>
          </w:p>
          <w:p>
            <w:pPr>
              <w:spacing w:line="300" w:lineRule="auto"/>
              <w:outlineLvl w:val="2"/>
              <w:rPr>
                <w:rFonts w:ascii="宋体" w:hAnsi="宋体"/>
                <w:sz w:val="24"/>
                <w:szCs w:val="24"/>
              </w:rPr>
            </w:pPr>
            <w:bookmarkStart w:id="15" w:name="_Toc18010"/>
            <w:r>
              <w:rPr>
                <w:rFonts w:hint="eastAsia" w:ascii="宋体" w:hAnsi="宋体"/>
                <w:sz w:val="24"/>
                <w:szCs w:val="24"/>
              </w:rPr>
              <w:t>3、详细设备投入方案和人员配置方案</w:t>
            </w:r>
            <w:bookmarkEnd w:id="15"/>
          </w:p>
          <w:p>
            <w:pPr>
              <w:spacing w:line="300" w:lineRule="auto"/>
              <w:outlineLvl w:val="2"/>
              <w:rPr>
                <w:rFonts w:ascii="宋体" w:hAnsi="宋体"/>
                <w:sz w:val="24"/>
                <w:szCs w:val="24"/>
              </w:rPr>
            </w:pPr>
            <w:bookmarkStart w:id="16" w:name="_Toc22969"/>
            <w:r>
              <w:rPr>
                <w:rFonts w:hint="eastAsia" w:ascii="宋体" w:hAnsi="宋体"/>
                <w:sz w:val="24"/>
                <w:szCs w:val="24"/>
              </w:rPr>
              <w:t>4、详细的组织方案和实施方案</w:t>
            </w:r>
            <w:bookmarkEnd w:id="1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6</w:t>
            </w:r>
          </w:p>
        </w:tc>
        <w:tc>
          <w:tcPr>
            <w:tcW w:w="8392" w:type="dxa"/>
            <w:vAlign w:val="center"/>
          </w:tcPr>
          <w:p>
            <w:pPr>
              <w:spacing w:line="300" w:lineRule="auto"/>
              <w:rPr>
                <w:rFonts w:ascii="宋体" w:hAnsi="宋体"/>
                <w:sz w:val="24"/>
                <w:szCs w:val="24"/>
              </w:rPr>
            </w:pPr>
            <w:r>
              <w:rPr>
                <w:rFonts w:hint="eastAsia" w:ascii="宋体" w:hAnsi="宋体"/>
                <w:sz w:val="24"/>
                <w:szCs w:val="24"/>
              </w:rPr>
              <w:t>1、报价为：人民币。</w:t>
            </w:r>
          </w:p>
          <w:p>
            <w:pPr>
              <w:spacing w:line="300" w:lineRule="auto"/>
              <w:outlineLvl w:val="2"/>
              <w:rPr>
                <w:rFonts w:ascii="宋体" w:hAnsi="宋体"/>
                <w:sz w:val="24"/>
                <w:szCs w:val="24"/>
              </w:rPr>
            </w:pPr>
            <w:bookmarkStart w:id="17" w:name="_Toc9017"/>
            <w:r>
              <w:rPr>
                <w:rFonts w:hint="eastAsia" w:ascii="宋体" w:hAnsi="宋体"/>
                <w:sz w:val="24"/>
                <w:szCs w:val="24"/>
              </w:rPr>
              <w:t>2、报价价格：单价：元/吨。</w:t>
            </w:r>
            <w:bookmarkEnd w:id="17"/>
          </w:p>
          <w:p>
            <w:pPr>
              <w:spacing w:line="300" w:lineRule="auto"/>
              <w:outlineLvl w:val="2"/>
              <w:rPr>
                <w:rFonts w:ascii="宋体" w:hAnsi="宋体"/>
                <w:b/>
                <w:sz w:val="24"/>
                <w:szCs w:val="24"/>
              </w:rPr>
            </w:pPr>
            <w:bookmarkStart w:id="18" w:name="_Toc1876"/>
            <w:r>
              <w:rPr>
                <w:rFonts w:hint="eastAsia" w:ascii="宋体" w:hAnsi="宋体"/>
                <w:sz w:val="24"/>
                <w:szCs w:val="24"/>
              </w:rPr>
              <w:t>3、详见报价一览表。</w:t>
            </w:r>
            <w:bookmarkEnd w:id="1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6"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7</w:t>
            </w:r>
          </w:p>
        </w:tc>
        <w:tc>
          <w:tcPr>
            <w:tcW w:w="8392" w:type="dxa"/>
            <w:vAlign w:val="center"/>
          </w:tcPr>
          <w:p>
            <w:pPr>
              <w:spacing w:line="360" w:lineRule="auto"/>
              <w:rPr>
                <w:rFonts w:ascii="宋体" w:hAnsi="宋体"/>
                <w:sz w:val="24"/>
                <w:szCs w:val="24"/>
              </w:rPr>
            </w:pPr>
            <w:r>
              <w:rPr>
                <w:rFonts w:hint="eastAsia" w:ascii="宋体" w:hAnsi="宋体"/>
                <w:sz w:val="24"/>
                <w:szCs w:val="24"/>
              </w:rPr>
              <w:t>报价有效期：自报价截止日期起</w:t>
            </w:r>
            <w:r>
              <w:rPr>
                <w:rFonts w:hint="eastAsia" w:ascii="宋体" w:hAnsi="宋体"/>
                <w:sz w:val="24"/>
                <w:szCs w:val="24"/>
                <w:u w:val="single"/>
              </w:rPr>
              <w:t>60</w:t>
            </w:r>
            <w:r>
              <w:rPr>
                <w:rFonts w:hint="eastAsia" w:ascii="宋体" w:hAnsi="宋体"/>
                <w:sz w:val="24"/>
                <w:szCs w:val="24"/>
              </w:rPr>
              <w:t>个日历日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报价文件的递交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6"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8</w:t>
            </w:r>
          </w:p>
        </w:tc>
        <w:tc>
          <w:tcPr>
            <w:tcW w:w="8392" w:type="dxa"/>
            <w:vAlign w:val="center"/>
          </w:tcPr>
          <w:p>
            <w:pPr>
              <w:pStyle w:val="24"/>
              <w:adjustRightInd w:val="0"/>
              <w:snapToGrid w:val="0"/>
              <w:spacing w:line="360" w:lineRule="auto"/>
              <w:ind w:firstLine="0" w:firstLineChars="0"/>
              <w:rPr>
                <w:rFonts w:ascii="宋体" w:hAnsi="宋体"/>
                <w:sz w:val="24"/>
                <w:szCs w:val="24"/>
              </w:rPr>
            </w:pPr>
            <w:r>
              <w:rPr>
                <w:rFonts w:hint="eastAsia" w:ascii="宋体" w:hAnsi="宋体"/>
                <w:sz w:val="24"/>
                <w:szCs w:val="24"/>
              </w:rPr>
              <w:t>递交标书地址</w:t>
            </w:r>
            <w:r>
              <w:rPr>
                <w:rFonts w:ascii="宋体" w:hAnsi="宋体"/>
                <w:sz w:val="24"/>
                <w:szCs w:val="24"/>
              </w:rPr>
              <w:t>：</w:t>
            </w:r>
            <w:r>
              <w:rPr>
                <w:rFonts w:hint="eastAsia" w:asciiTheme="minorEastAsia" w:hAnsiTheme="minorEastAsia"/>
                <w:sz w:val="24"/>
                <w:szCs w:val="24"/>
              </w:rPr>
              <w:t>内蒙古赤峰市元宝山镇开发区内蒙古大地云天化工有限公司行政办公楼3楼工程部。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6"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9</w:t>
            </w:r>
          </w:p>
        </w:tc>
        <w:tc>
          <w:tcPr>
            <w:tcW w:w="8392" w:type="dxa"/>
            <w:vAlign w:val="center"/>
          </w:tcPr>
          <w:p>
            <w:pPr>
              <w:spacing w:line="360" w:lineRule="auto"/>
              <w:rPr>
                <w:rFonts w:asciiTheme="minorEastAsia" w:hAnsiTheme="minorEastAsia" w:cstheme="minorEastAsia"/>
                <w:bCs/>
                <w:sz w:val="24"/>
                <w:szCs w:val="24"/>
              </w:rPr>
            </w:pPr>
            <w:r>
              <w:rPr>
                <w:rFonts w:hint="eastAsia" w:ascii="宋体" w:hAnsi="宋体"/>
                <w:sz w:val="24"/>
                <w:szCs w:val="24"/>
              </w:rPr>
              <w:t>报价文件标题</w:t>
            </w:r>
            <w:r>
              <w:rPr>
                <w:rFonts w:ascii="宋体" w:hAnsi="宋体"/>
                <w:sz w:val="24"/>
                <w:szCs w:val="24"/>
              </w:rPr>
              <w:t>：</w:t>
            </w:r>
            <w:r>
              <w:rPr>
                <w:rFonts w:hint="eastAsia" w:ascii="宋体" w:hAnsi="宋体"/>
                <w:sz w:val="24"/>
                <w:szCs w:val="24"/>
              </w:rPr>
              <w:t>内蒙古大地云天化工有限公司化肥着色、包裹技术服务承包项目。</w:t>
            </w:r>
          </w:p>
          <w:p>
            <w:pPr>
              <w:spacing w:line="360" w:lineRule="auto"/>
              <w:rPr>
                <w:rFonts w:ascii="宋体" w:hAnsi="宋体"/>
                <w:sz w:val="24"/>
                <w:szCs w:val="24"/>
              </w:rPr>
            </w:pPr>
            <w:r>
              <w:rPr>
                <w:rFonts w:hint="eastAsia" w:ascii="宋体" w:hAnsi="宋体"/>
                <w:sz w:val="24"/>
                <w:szCs w:val="24"/>
              </w:rPr>
              <w:t>询价编号： DDYT-06-2112-010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10</w:t>
            </w:r>
          </w:p>
        </w:tc>
        <w:tc>
          <w:tcPr>
            <w:tcW w:w="8392" w:type="dxa"/>
            <w:vAlign w:val="center"/>
          </w:tcPr>
          <w:p>
            <w:pPr>
              <w:spacing w:line="360" w:lineRule="auto"/>
              <w:rPr>
                <w:rFonts w:ascii="宋体" w:hAnsi="宋体"/>
                <w:sz w:val="24"/>
                <w:szCs w:val="24"/>
              </w:rPr>
            </w:pPr>
            <w:r>
              <w:rPr>
                <w:rFonts w:hint="eastAsia" w:ascii="宋体" w:hAnsi="宋体"/>
                <w:sz w:val="24"/>
                <w:szCs w:val="24"/>
              </w:rPr>
              <w:t>报价截止时间：</w:t>
            </w:r>
            <w:r>
              <w:rPr>
                <w:rFonts w:hint="eastAsia" w:ascii="宋体" w:hAnsi="宋体"/>
                <w:sz w:val="24"/>
                <w:szCs w:val="24"/>
                <w:shd w:val="pct10" w:color="auto" w:fill="FFFFFF"/>
              </w:rPr>
              <w:t>2021年</w:t>
            </w:r>
            <w:r>
              <w:rPr>
                <w:rFonts w:ascii="宋体" w:hAnsi="宋体"/>
                <w:sz w:val="24"/>
                <w:szCs w:val="24"/>
                <w:shd w:val="pct10" w:color="auto" w:fill="FFFFFF"/>
              </w:rPr>
              <w:t>12</w:t>
            </w:r>
            <w:r>
              <w:rPr>
                <w:rFonts w:hint="eastAsia" w:ascii="宋体" w:hAnsi="宋体"/>
                <w:sz w:val="24"/>
                <w:szCs w:val="24"/>
                <w:shd w:val="pct10" w:color="auto" w:fill="FFFFFF"/>
              </w:rPr>
              <w:t>月</w:t>
            </w:r>
            <w:r>
              <w:rPr>
                <w:rFonts w:ascii="宋体" w:hAnsi="宋体"/>
                <w:sz w:val="24"/>
                <w:szCs w:val="24"/>
                <w:shd w:val="pct10" w:color="auto" w:fill="FFFFFF"/>
              </w:rPr>
              <w:t>21</w:t>
            </w:r>
            <w:r>
              <w:rPr>
                <w:rFonts w:hint="eastAsia" w:ascii="宋体" w:hAnsi="宋体"/>
                <w:sz w:val="24"/>
                <w:szCs w:val="24"/>
                <w:shd w:val="pct10" w:color="auto" w:fill="FFFFFF"/>
              </w:rPr>
              <w:t>日上午1</w:t>
            </w:r>
            <w:r>
              <w:rPr>
                <w:rFonts w:hint="eastAsia" w:ascii="宋体" w:hAnsi="宋体"/>
                <w:sz w:val="24"/>
                <w:szCs w:val="24"/>
                <w:shd w:val="pct10" w:color="auto" w:fill="FFFFFF"/>
                <w:lang w:val="en-US" w:eastAsia="zh-CN"/>
              </w:rPr>
              <w:t>5</w:t>
            </w:r>
            <w:r>
              <w:rPr>
                <w:rFonts w:hint="eastAsia" w:ascii="宋体" w:hAnsi="宋体"/>
                <w:sz w:val="24"/>
                <w:szCs w:val="24"/>
                <w:shd w:val="pct10" w:color="auto" w:fill="FFFFFF"/>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8"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开标与评标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5"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11</w:t>
            </w:r>
          </w:p>
        </w:tc>
        <w:tc>
          <w:tcPr>
            <w:tcW w:w="8392" w:type="dxa"/>
            <w:vAlign w:val="center"/>
          </w:tcPr>
          <w:p>
            <w:pPr>
              <w:spacing w:line="360" w:lineRule="auto"/>
              <w:rPr>
                <w:rFonts w:ascii="宋体" w:hAnsi="宋体"/>
                <w:sz w:val="24"/>
                <w:szCs w:val="24"/>
              </w:rPr>
            </w:pPr>
            <w:r>
              <w:rPr>
                <w:rFonts w:hint="eastAsia" w:ascii="宋体" w:hAnsi="宋体"/>
                <w:sz w:val="24"/>
                <w:szCs w:val="24"/>
                <w:lang w:val="zh-CN"/>
              </w:rPr>
              <w:t>开标方式：询价人自行开标，不邀请报价人参与开标。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12</w:t>
            </w:r>
          </w:p>
        </w:tc>
        <w:tc>
          <w:tcPr>
            <w:tcW w:w="8392" w:type="dxa"/>
            <w:vAlign w:val="center"/>
          </w:tcPr>
          <w:p>
            <w:pPr>
              <w:spacing w:line="360" w:lineRule="auto"/>
              <w:rPr>
                <w:rFonts w:ascii="宋体" w:hAnsi="宋体"/>
                <w:sz w:val="24"/>
                <w:szCs w:val="24"/>
              </w:rPr>
            </w:pPr>
            <w:r>
              <w:rPr>
                <w:rFonts w:hint="eastAsia" w:ascii="宋体" w:hAnsi="宋体"/>
                <w:sz w:val="24"/>
                <w:szCs w:val="24"/>
              </w:rPr>
              <w:t>评标方法：详见本须知及第七章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4"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授予合同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13</w:t>
            </w:r>
          </w:p>
        </w:tc>
        <w:tc>
          <w:tcPr>
            <w:tcW w:w="8392" w:type="dxa"/>
            <w:vAlign w:val="center"/>
          </w:tcPr>
          <w:p>
            <w:pPr>
              <w:pStyle w:val="26"/>
              <w:spacing w:line="360" w:lineRule="auto"/>
              <w:ind w:firstLine="0" w:firstLineChars="0"/>
              <w:rPr>
                <w:rFonts w:ascii="宋体" w:hAnsi="宋体"/>
                <w:sz w:val="24"/>
                <w:szCs w:val="24"/>
              </w:rPr>
            </w:pPr>
            <w:r>
              <w:rPr>
                <w:rFonts w:hint="eastAsia" w:ascii="宋体" w:hAnsi="宋体"/>
                <w:sz w:val="24"/>
                <w:szCs w:val="24"/>
              </w:rPr>
              <w:t>1、询价人有权将合同授予一家、两家或三家中标候选人。</w:t>
            </w:r>
          </w:p>
          <w:p>
            <w:pPr>
              <w:pStyle w:val="26"/>
              <w:spacing w:line="360" w:lineRule="auto"/>
              <w:ind w:firstLine="0" w:firstLineChars="0"/>
              <w:rPr>
                <w:rFonts w:ascii="宋体" w:hAnsi="宋体"/>
                <w:sz w:val="24"/>
                <w:szCs w:val="24"/>
              </w:rPr>
            </w:pPr>
            <w:r>
              <w:rPr>
                <w:rFonts w:ascii="宋体" w:hAnsi="宋体"/>
                <w:sz w:val="24"/>
                <w:szCs w:val="24"/>
              </w:rPr>
              <w:t>2</w:t>
            </w:r>
            <w:r>
              <w:rPr>
                <w:rFonts w:hint="eastAsia" w:ascii="宋体" w:hAnsi="宋体"/>
                <w:sz w:val="24"/>
                <w:szCs w:val="24"/>
              </w:rPr>
              <w:t>、合同时间：</w:t>
            </w:r>
            <w:r>
              <w:rPr>
                <w:rFonts w:ascii="宋体" w:hAnsi="宋体"/>
                <w:sz w:val="24"/>
                <w:szCs w:val="24"/>
              </w:rPr>
              <w:t>2</w:t>
            </w:r>
            <w:r>
              <w:rPr>
                <w:rFonts w:hint="eastAsia" w:ascii="宋体" w:hAnsi="宋体"/>
                <w:sz w:val="24"/>
                <w:szCs w:val="24"/>
              </w:rPr>
              <w:t>年</w:t>
            </w:r>
          </w:p>
          <w:p>
            <w:pPr>
              <w:pStyle w:val="26"/>
              <w:spacing w:line="360" w:lineRule="auto"/>
              <w:ind w:firstLine="0" w:firstLineChars="0"/>
              <w:rPr>
                <w:rFonts w:ascii="宋体" w:hAnsi="宋体"/>
                <w:sz w:val="24"/>
                <w:szCs w:val="24"/>
              </w:rPr>
            </w:pPr>
            <w:r>
              <w:rPr>
                <w:rFonts w:hint="eastAsia" w:ascii="宋体" w:hAnsi="宋体"/>
                <w:sz w:val="24"/>
                <w:szCs w:val="24"/>
              </w:rPr>
              <w:t>3、合同格式：详见第六章合同条款及特别提示。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rPr>
              <w:t>履约保证金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8"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14</w:t>
            </w:r>
          </w:p>
        </w:tc>
        <w:tc>
          <w:tcPr>
            <w:tcW w:w="8392" w:type="dxa"/>
            <w:vAlign w:val="center"/>
          </w:tcPr>
          <w:p>
            <w:pPr>
              <w:spacing w:line="360" w:lineRule="auto"/>
              <w:rPr>
                <w:rFonts w:ascii="宋体" w:hAnsi="宋体"/>
                <w:sz w:val="24"/>
                <w:szCs w:val="24"/>
                <w:highlight w:val="none"/>
              </w:rPr>
            </w:pPr>
            <w:r>
              <w:rPr>
                <w:rFonts w:hint="eastAsia" w:ascii="宋体" w:hAnsi="宋体"/>
                <w:sz w:val="24"/>
                <w:szCs w:val="24"/>
                <w:highlight w:val="none"/>
              </w:rPr>
              <w:t>总额100万元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8" w:hRule="atLeast"/>
          <w:jc w:val="center"/>
        </w:trPr>
        <w:tc>
          <w:tcPr>
            <w:tcW w:w="9272" w:type="dxa"/>
            <w:gridSpan w:val="2"/>
            <w:vAlign w:val="center"/>
          </w:tcPr>
          <w:p>
            <w:pPr>
              <w:spacing w:line="360" w:lineRule="auto"/>
              <w:jc w:val="center"/>
              <w:rPr>
                <w:rFonts w:ascii="宋体" w:hAnsi="宋体"/>
                <w:b/>
                <w:sz w:val="24"/>
                <w:szCs w:val="24"/>
              </w:rPr>
            </w:pPr>
            <w:r>
              <w:rPr>
                <w:rFonts w:hint="eastAsia" w:ascii="宋体" w:hAnsi="宋体"/>
                <w:b/>
                <w:sz w:val="24"/>
                <w:szCs w:val="24"/>
                <w:highlight w:val="yellow"/>
                <w:lang w:val="en-US" w:eastAsia="zh-CN"/>
              </w:rPr>
              <w:t>投标</w:t>
            </w:r>
            <w:r>
              <w:rPr>
                <w:rFonts w:hint="eastAsia" w:ascii="宋体" w:hAnsi="宋体"/>
                <w:b/>
                <w:sz w:val="24"/>
                <w:szCs w:val="24"/>
                <w:highlight w:val="yellow"/>
              </w:rPr>
              <w:t>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8" w:hRule="atLeast"/>
          <w:jc w:val="center"/>
        </w:trPr>
        <w:tc>
          <w:tcPr>
            <w:tcW w:w="880" w:type="dxa"/>
            <w:vAlign w:val="center"/>
          </w:tcPr>
          <w:p>
            <w:pPr>
              <w:spacing w:line="360" w:lineRule="auto"/>
              <w:jc w:val="center"/>
              <w:rPr>
                <w:rFonts w:ascii="宋体" w:hAnsi="宋体"/>
                <w:sz w:val="24"/>
                <w:szCs w:val="24"/>
              </w:rPr>
            </w:pPr>
            <w:r>
              <w:rPr>
                <w:rFonts w:hint="eastAsia" w:ascii="宋体" w:hAnsi="宋体"/>
                <w:sz w:val="24"/>
                <w:szCs w:val="24"/>
              </w:rPr>
              <w:t>1</w:t>
            </w:r>
            <w:r>
              <w:rPr>
                <w:rFonts w:ascii="宋体" w:hAnsi="宋体"/>
                <w:sz w:val="24"/>
                <w:szCs w:val="24"/>
              </w:rPr>
              <w:t>5</w:t>
            </w:r>
          </w:p>
        </w:tc>
        <w:tc>
          <w:tcPr>
            <w:tcW w:w="8392" w:type="dxa"/>
            <w:vAlign w:val="center"/>
          </w:tcPr>
          <w:p>
            <w:pPr>
              <w:spacing w:line="360" w:lineRule="auto"/>
              <w:rPr>
                <w:rFonts w:ascii="宋体" w:hAnsi="宋体"/>
                <w:sz w:val="24"/>
                <w:szCs w:val="24"/>
                <w:highlight w:val="none"/>
              </w:rPr>
            </w:pPr>
            <w:r>
              <w:rPr>
                <w:rFonts w:hint="eastAsia" w:ascii="宋体" w:hAnsi="宋体"/>
                <w:sz w:val="24"/>
                <w:szCs w:val="24"/>
                <w:highlight w:val="none"/>
              </w:rPr>
              <w:t>1</w:t>
            </w:r>
            <w:r>
              <w:rPr>
                <w:rFonts w:ascii="宋体" w:hAnsi="宋体"/>
                <w:sz w:val="24"/>
                <w:szCs w:val="24"/>
                <w:highlight w:val="none"/>
              </w:rPr>
              <w:t>0</w:t>
            </w:r>
            <w:r>
              <w:rPr>
                <w:rFonts w:hint="eastAsia" w:ascii="宋体" w:hAnsi="宋体"/>
                <w:sz w:val="24"/>
                <w:szCs w:val="24"/>
                <w:highlight w:val="none"/>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272" w:type="dxa"/>
            <w:gridSpan w:val="2"/>
            <w:vAlign w:val="center"/>
          </w:tcPr>
          <w:p>
            <w:pPr>
              <w:spacing w:line="360" w:lineRule="auto"/>
              <w:rPr>
                <w:rFonts w:ascii="宋体" w:hAnsi="宋体"/>
                <w:sz w:val="24"/>
                <w:szCs w:val="24"/>
              </w:rPr>
            </w:pPr>
            <w:r>
              <w:rPr>
                <w:rFonts w:hint="eastAsia" w:ascii="宋体" w:hAnsi="宋体"/>
                <w:sz w:val="24"/>
                <w:szCs w:val="24"/>
              </w:rPr>
              <w:t>1、</w:t>
            </w:r>
            <w:r>
              <w:rPr>
                <w:rFonts w:hint="eastAsia" w:ascii="华文楷体" w:hAnsi="华文楷体" w:eastAsia="华文楷体"/>
                <w:b/>
              </w:rPr>
              <w:t>为方便开标唱标，报价人应将开标一览表单独密封提交，并在信封上标明“开标一览表”字样。</w:t>
            </w:r>
          </w:p>
          <w:p>
            <w:pPr>
              <w:spacing w:line="360" w:lineRule="auto"/>
              <w:rPr>
                <w:rFonts w:ascii="宋体" w:hAnsi="宋体"/>
                <w:sz w:val="24"/>
                <w:szCs w:val="24"/>
              </w:rPr>
            </w:pPr>
            <w:r>
              <w:rPr>
                <w:rFonts w:hint="eastAsia" w:ascii="宋体" w:hAnsi="宋体"/>
                <w:sz w:val="24"/>
                <w:szCs w:val="24"/>
              </w:rPr>
              <w:t>2、询价人有本询价文件最终解释权。</w:t>
            </w:r>
          </w:p>
        </w:tc>
      </w:tr>
    </w:tbl>
    <w:p>
      <w:pPr>
        <w:rPr>
          <w:rFonts w:ascii="宋体" w:hAnsi="宋体"/>
          <w:w w:val="90"/>
        </w:rPr>
      </w:pPr>
      <w:bookmarkStart w:id="19" w:name="_Toc30432"/>
    </w:p>
    <w:p>
      <w:pPr>
        <w:rPr>
          <w:rFonts w:ascii="宋体" w:hAnsi="宋体"/>
          <w:w w:val="90"/>
        </w:rPr>
      </w:pPr>
    </w:p>
    <w:p>
      <w:pPr>
        <w:pStyle w:val="2"/>
        <w:spacing w:before="0" w:after="0" w:line="360" w:lineRule="auto"/>
        <w:jc w:val="center"/>
        <w:rPr>
          <w:rFonts w:ascii="宋体" w:hAnsi="宋体"/>
          <w:bCs w:val="0"/>
          <w:w w:val="90"/>
        </w:rPr>
      </w:pPr>
      <w:r>
        <w:rPr>
          <w:rFonts w:hint="eastAsia" w:ascii="宋体" w:hAnsi="宋体"/>
          <w:bCs w:val="0"/>
          <w:w w:val="90"/>
        </w:rPr>
        <w:t>第三章 报价人须知</w:t>
      </w:r>
      <w:bookmarkEnd w:id="19"/>
    </w:p>
    <w:p>
      <w:pPr>
        <w:pStyle w:val="3"/>
        <w:spacing w:before="0" w:after="0" w:line="415" w:lineRule="auto"/>
        <w:jc w:val="center"/>
      </w:pPr>
      <w:bookmarkStart w:id="20" w:name="_Toc31637"/>
      <w:r>
        <w:rPr>
          <w:rFonts w:hint="eastAsia"/>
        </w:rPr>
        <w:t>第一节  说明</w:t>
      </w:r>
      <w:bookmarkEnd w:id="20"/>
    </w:p>
    <w:p>
      <w:pPr>
        <w:tabs>
          <w:tab w:val="left" w:pos="330"/>
        </w:tabs>
        <w:autoSpaceDE w:val="0"/>
        <w:autoSpaceDN w:val="0"/>
        <w:adjustRightInd w:val="0"/>
        <w:spacing w:line="360" w:lineRule="auto"/>
        <w:jc w:val="left"/>
        <w:rPr>
          <w:rFonts w:ascii="宋体" w:hAnsi="宋体"/>
          <w:b/>
          <w:kern w:val="0"/>
          <w:sz w:val="24"/>
          <w:szCs w:val="24"/>
        </w:rPr>
      </w:pPr>
      <w:r>
        <w:rPr>
          <w:rFonts w:hint="eastAsia" w:ascii="宋体" w:hAnsi="宋体"/>
          <w:b/>
          <w:kern w:val="0"/>
          <w:sz w:val="24"/>
          <w:szCs w:val="24"/>
        </w:rPr>
        <w:t>1  资金来源</w:t>
      </w:r>
    </w:p>
    <w:p>
      <w:pPr>
        <w:tabs>
          <w:tab w:val="left" w:pos="330"/>
        </w:tabs>
        <w:autoSpaceDE w:val="0"/>
        <w:autoSpaceDN w:val="0"/>
        <w:adjustRightInd w:val="0"/>
        <w:spacing w:line="360" w:lineRule="auto"/>
        <w:ind w:firstLine="480" w:firstLineChars="200"/>
        <w:jc w:val="left"/>
        <w:rPr>
          <w:rFonts w:ascii="宋体" w:hAnsi="宋体"/>
          <w:kern w:val="0"/>
          <w:sz w:val="24"/>
          <w:szCs w:val="24"/>
        </w:rPr>
      </w:pPr>
      <w:r>
        <w:rPr>
          <w:rFonts w:hint="eastAsia" w:ascii="宋体" w:hAnsi="宋体"/>
          <w:sz w:val="24"/>
          <w:szCs w:val="24"/>
        </w:rPr>
        <w:t>本询价项目</w:t>
      </w:r>
      <w:r>
        <w:rPr>
          <w:rFonts w:hint="eastAsia" w:ascii="宋体" w:hAnsi="宋体"/>
          <w:kern w:val="0"/>
          <w:sz w:val="24"/>
          <w:szCs w:val="24"/>
        </w:rPr>
        <w:t>资金已落实。</w:t>
      </w:r>
    </w:p>
    <w:p>
      <w:pPr>
        <w:tabs>
          <w:tab w:val="left" w:pos="330"/>
        </w:tabs>
        <w:autoSpaceDE w:val="0"/>
        <w:autoSpaceDN w:val="0"/>
        <w:adjustRightInd w:val="0"/>
        <w:spacing w:line="360" w:lineRule="auto"/>
        <w:jc w:val="left"/>
        <w:rPr>
          <w:rFonts w:ascii="宋体" w:hAnsi="宋体"/>
          <w:b/>
          <w:kern w:val="0"/>
          <w:sz w:val="24"/>
          <w:szCs w:val="24"/>
        </w:rPr>
      </w:pPr>
      <w:r>
        <w:rPr>
          <w:rFonts w:ascii="宋体" w:hAnsi="宋体"/>
          <w:b/>
          <w:kern w:val="0"/>
          <w:sz w:val="24"/>
          <w:szCs w:val="24"/>
        </w:rPr>
        <w:t>2</w:t>
      </w:r>
      <w:r>
        <w:rPr>
          <w:rFonts w:hint="eastAsia" w:ascii="宋体" w:hAnsi="宋体"/>
          <w:b/>
          <w:kern w:val="0"/>
          <w:sz w:val="24"/>
          <w:szCs w:val="24"/>
        </w:rPr>
        <w:t xml:space="preserve">  合格的报价人</w:t>
      </w:r>
    </w:p>
    <w:p>
      <w:pPr>
        <w:tabs>
          <w:tab w:val="left" w:pos="330"/>
        </w:tabs>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详见报价人须知前附表</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3  合格的服务</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报价人提供的服务，应符合询价人在询价公告中的各项要求。</w:t>
      </w:r>
    </w:p>
    <w:p>
      <w:pPr>
        <w:spacing w:line="360" w:lineRule="auto"/>
        <w:rPr>
          <w:rFonts w:ascii="宋体" w:hAnsi="宋体"/>
          <w:b/>
          <w:kern w:val="0"/>
          <w:sz w:val="24"/>
          <w:szCs w:val="24"/>
        </w:rPr>
      </w:pPr>
      <w:r>
        <w:rPr>
          <w:rFonts w:hint="eastAsia" w:ascii="宋体" w:hAnsi="宋体"/>
          <w:b/>
          <w:kern w:val="0"/>
          <w:sz w:val="24"/>
          <w:szCs w:val="24"/>
        </w:rPr>
        <w:t>4  报价费用</w:t>
      </w:r>
    </w:p>
    <w:p>
      <w:pPr>
        <w:autoSpaceDE w:val="0"/>
        <w:spacing w:line="360" w:lineRule="auto"/>
        <w:ind w:firstLine="360" w:firstLineChars="150"/>
        <w:jc w:val="left"/>
        <w:textAlignment w:val="top"/>
      </w:pPr>
      <w:r>
        <w:rPr>
          <w:rFonts w:hint="eastAsia" w:ascii="宋体" w:hAnsi="宋体"/>
          <w:kern w:val="0"/>
          <w:sz w:val="24"/>
          <w:szCs w:val="24"/>
        </w:rPr>
        <w:t>报价人应承担报价产生的所有费用，询价人在任何情况下均无义务和责任承担这些费用。</w:t>
      </w:r>
      <w:r>
        <w:rPr>
          <w:rFonts w:ascii="宋体" w:hAnsi="宋体"/>
          <w:kern w:val="0"/>
          <w:sz w:val="24"/>
          <w:szCs w:val="24"/>
        </w:rPr>
        <w:t xml:space="preserve"> </w:t>
      </w:r>
    </w:p>
    <w:p>
      <w:pPr>
        <w:pStyle w:val="3"/>
        <w:spacing w:before="0" w:after="0" w:line="415" w:lineRule="auto"/>
        <w:jc w:val="center"/>
      </w:pPr>
      <w:bookmarkStart w:id="21" w:name="_Toc16027"/>
      <w:r>
        <w:rPr>
          <w:rFonts w:hint="eastAsia"/>
        </w:rPr>
        <w:t>第二节  询价文件</w:t>
      </w:r>
      <w:bookmarkEnd w:id="21"/>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5  询价文件构成</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5.1询价文件包括：</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1）询价公告</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2）报价人须知前附表</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3）报价人须知</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4）报价文件格式</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6  询价文件的澄清</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6.1报价截止日前，询价人可以对询价文件进行必要的澄清，澄清应以书面形式作出并通知所有报价人，并构成询价文件的组成部分。任何要求对询价文件进行澄清的潜在报价人，均应以书面形式通知询价人。询价人对其在报价人须知中所述报价截止期5日以前收到的对询价文件的澄清要求均以书面形式予以答复，同时将书面答复发给每个潜在的报价人（答复中不包括问题的来源）。</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6.2 报价人认为询价文件存在歧视性条款或不合理要求，应在规定时间提出。</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6.3 询价人认为标书澄清内容有可能影响报价文件编制的，应至少在报价截止日5日前发出修改通知，不足5日的，询价人相应顺延提交报价文件的截止时间。</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 xml:space="preserve">7 </w:t>
      </w:r>
      <w:r>
        <w:rPr>
          <w:rFonts w:hint="eastAsia" w:ascii="宋体" w:hAnsi="宋体"/>
          <w:kern w:val="0"/>
          <w:sz w:val="24"/>
          <w:szCs w:val="24"/>
        </w:rPr>
        <w:t xml:space="preserve"> </w:t>
      </w:r>
      <w:r>
        <w:rPr>
          <w:rFonts w:hint="eastAsia" w:ascii="宋体" w:hAnsi="宋体"/>
          <w:b/>
          <w:kern w:val="0"/>
          <w:sz w:val="24"/>
          <w:szCs w:val="24"/>
        </w:rPr>
        <w:t>询价文件的修改</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7.1报价截止日前，询价人可以对询价文件进行必要的修改，修改应以书面形式作出并通知所有报价人，并构成询价文件的组成部分。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7.2询价人认为标书修改内容有可能影响报价文件编制的，应至少在报价截止日5日前发出修改通知，不足5日的，询价人相应顺延提交报价文件的截止时间。</w:t>
      </w:r>
    </w:p>
    <w:p>
      <w:pPr>
        <w:pStyle w:val="3"/>
        <w:spacing w:before="0" w:after="0" w:line="415" w:lineRule="auto"/>
        <w:jc w:val="center"/>
        <w:rPr>
          <w:rFonts w:ascii="宋体" w:hAnsi="宋体"/>
          <w:b w:val="0"/>
          <w:kern w:val="0"/>
        </w:rPr>
      </w:pPr>
      <w:bookmarkStart w:id="22" w:name="_Toc24714"/>
      <w:r>
        <w:rPr>
          <w:rFonts w:hint="eastAsia"/>
        </w:rPr>
        <w:t>第三节  报价文件编制</w:t>
      </w:r>
      <w:bookmarkEnd w:id="22"/>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8   报价语言</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 xml:space="preserve">    报价人提交的报价书以及报价人与询价人就有关报价的所有来往函电均应使用中文。</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9 报价书构成</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报价人编写的报价书应包括下列部分：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9.1资格证明文件</w:t>
      </w:r>
    </w:p>
    <w:p>
      <w:pPr>
        <w:widowControl/>
        <w:spacing w:line="360" w:lineRule="auto"/>
        <w:ind w:firstLine="480" w:firstLineChars="200"/>
        <w:jc w:val="left"/>
        <w:rPr>
          <w:rFonts w:ascii="宋体" w:hAnsi="宋体"/>
          <w:sz w:val="24"/>
          <w:szCs w:val="24"/>
        </w:rPr>
      </w:pPr>
      <w:r>
        <w:rPr>
          <w:rFonts w:hint="eastAsia" w:ascii="宋体" w:hAnsi="宋体" w:cs="宋体"/>
          <w:kern w:val="0"/>
          <w:sz w:val="24"/>
          <w:szCs w:val="24"/>
        </w:rPr>
        <w:t>（1）</w:t>
      </w:r>
      <w:r>
        <w:rPr>
          <w:rFonts w:hint="eastAsia" w:ascii="宋体" w:hAnsi="宋体"/>
          <w:sz w:val="24"/>
          <w:szCs w:val="24"/>
        </w:rPr>
        <w:t>营业执照等证明文件；</w:t>
      </w:r>
    </w:p>
    <w:p>
      <w:pPr>
        <w:widowControl/>
        <w:spacing w:line="360" w:lineRule="auto"/>
        <w:ind w:firstLine="480" w:firstLineChars="200"/>
        <w:jc w:val="left"/>
        <w:rPr>
          <w:rFonts w:ascii="宋体" w:hAnsi="宋体" w:cs="宋体"/>
          <w:kern w:val="0"/>
          <w:sz w:val="24"/>
          <w:szCs w:val="24"/>
        </w:rPr>
      </w:pPr>
      <w:r>
        <w:rPr>
          <w:rFonts w:hint="eastAsia" w:ascii="宋体" w:hAnsi="宋体"/>
          <w:sz w:val="24"/>
          <w:szCs w:val="24"/>
        </w:rPr>
        <w:t>（2）报价人身份证明（如是代理人需出具法人授权书）；</w:t>
      </w:r>
      <w:r>
        <w:rPr>
          <w:rFonts w:ascii="宋体" w:hAnsi="宋体" w:cs="宋体"/>
          <w:kern w:val="0"/>
          <w:sz w:val="24"/>
          <w:szCs w:val="24"/>
        </w:rPr>
        <w:t xml:space="preserve"> </w:t>
      </w:r>
    </w:p>
    <w:p>
      <w:pPr>
        <w:widowControl/>
        <w:spacing w:line="360" w:lineRule="auto"/>
        <w:ind w:firstLine="480" w:firstLineChars="200"/>
        <w:jc w:val="left"/>
        <w:rPr>
          <w:rFonts w:ascii="宋体" w:hAnsi="宋体"/>
          <w:sz w:val="24"/>
          <w:szCs w:val="24"/>
        </w:rPr>
      </w:pPr>
      <w:r>
        <w:rPr>
          <w:rFonts w:hint="eastAsia" w:ascii="宋体" w:hAnsi="宋体"/>
          <w:sz w:val="24"/>
          <w:szCs w:val="24"/>
        </w:rPr>
        <w:t>（3）其它详见报价人须知前附表。</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9.2 商务报价书：</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（1）报价书格式；</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（2）报价表；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（3）商务偏离表；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（4）证明报价人有资格报价以及如果中标有能力履行合同的声明文件；</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（5）报价人认为需要的其它文件；</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（6）开标一览表（单独封装）；</w:t>
      </w:r>
    </w:p>
    <w:p>
      <w:pPr>
        <w:autoSpaceDE w:val="0"/>
        <w:spacing w:line="360" w:lineRule="auto"/>
        <w:ind w:firstLine="480" w:firstLineChars="200"/>
        <w:jc w:val="left"/>
        <w:textAlignment w:val="top"/>
        <w:rPr>
          <w:rFonts w:ascii="宋体" w:hAnsi="宋体"/>
          <w:sz w:val="24"/>
          <w:szCs w:val="24"/>
        </w:rPr>
      </w:pPr>
      <w:r>
        <w:rPr>
          <w:rFonts w:hint="eastAsia" w:ascii="宋体" w:hAnsi="宋体"/>
          <w:kern w:val="0"/>
          <w:sz w:val="24"/>
          <w:szCs w:val="24"/>
        </w:rPr>
        <w:t>（7）报价人的组织方案和实施方案。</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 xml:space="preserve">9.3 报价文件的编写  </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报价人应该按照第四章报价文件格式填写报价书、开标一览表、报价分项报价表以及询价文件中规定的其它内容。</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9.4 报价价格</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9.4.1 报价人应在报价表上标明本合同拟提供服务的单价</w:t>
      </w:r>
    </w:p>
    <w:p>
      <w:pPr>
        <w:autoSpaceDE w:val="0"/>
        <w:spacing w:line="360" w:lineRule="auto"/>
        <w:ind w:firstLine="600" w:firstLineChars="250"/>
        <w:jc w:val="left"/>
        <w:textAlignment w:val="top"/>
        <w:rPr>
          <w:rFonts w:ascii="宋体" w:hAnsi="宋体"/>
          <w:kern w:val="0"/>
          <w:sz w:val="24"/>
          <w:szCs w:val="24"/>
        </w:rPr>
      </w:pPr>
      <w:r>
        <w:rPr>
          <w:rFonts w:hint="eastAsia" w:ascii="宋体" w:hAnsi="宋体"/>
          <w:kern w:val="0"/>
          <w:sz w:val="24"/>
          <w:szCs w:val="24"/>
        </w:rPr>
        <w:t>报价中不得包含询价文件要求以外的内容，否则，在评标时不予核减。报价中也不得缺漏询价文件所要求的内容，否则，评标时将有效报价中该项内容的最高价计入其报价总价。</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9.4.2报价价格</w:t>
      </w:r>
    </w:p>
    <w:p>
      <w:pPr>
        <w:autoSpaceDE w:val="0"/>
        <w:spacing w:line="360" w:lineRule="auto"/>
        <w:ind w:firstLine="720" w:firstLineChars="300"/>
        <w:jc w:val="left"/>
        <w:textAlignment w:val="top"/>
        <w:rPr>
          <w:rFonts w:ascii="宋体" w:hAnsi="宋体"/>
          <w:kern w:val="0"/>
          <w:sz w:val="24"/>
          <w:szCs w:val="24"/>
        </w:rPr>
      </w:pPr>
      <w:r>
        <w:rPr>
          <w:rFonts w:hint="eastAsia" w:ascii="宋体" w:hAnsi="宋体"/>
          <w:kern w:val="0"/>
          <w:sz w:val="24"/>
          <w:szCs w:val="24"/>
        </w:rPr>
        <w:t>按照报价一览表内产品种类报单价：元/吨；</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10  报价货币</w:t>
      </w:r>
      <w:r>
        <w:rPr>
          <w:rFonts w:hint="eastAsia" w:ascii="宋体" w:hAnsi="宋体"/>
          <w:kern w:val="0"/>
          <w:sz w:val="24"/>
          <w:szCs w:val="24"/>
        </w:rPr>
        <w:t>：人民币。</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11  证明报价人合格和资格的文件</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11.1按照规定，报价人应提交证明其有资格参加报价和中标后有能力履行合同的文件，并作为其报价书的一部分。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11.2报价人应提供证明其具备履行合同所需的财务、技术和生产能力的文件。</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11.3证明报价人满足报价人须知中列出的业绩要求的文件。</w:t>
      </w:r>
    </w:p>
    <w:p>
      <w:pPr>
        <w:spacing w:line="360" w:lineRule="auto"/>
        <w:rPr>
          <w:rFonts w:ascii="宋体" w:hAnsi="宋体"/>
          <w:sz w:val="24"/>
          <w:szCs w:val="24"/>
        </w:rPr>
      </w:pPr>
      <w:r>
        <w:rPr>
          <w:rFonts w:hint="eastAsia" w:ascii="宋体" w:hAnsi="宋体"/>
          <w:sz w:val="24"/>
          <w:szCs w:val="24"/>
        </w:rPr>
        <w:t>11.4 按照本询价文件要求参加报价并被询价人接收的报价人，将在今后或后续询价过程中被认为具有履行合同的能力，并将在后续询价过程中、在同等条件下优先被选择。</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 xml:space="preserve">12 </w:t>
      </w:r>
      <w:r>
        <w:rPr>
          <w:rFonts w:hint="eastAsia" w:ascii="宋体" w:hAnsi="宋体"/>
          <w:b/>
          <w:kern w:val="0"/>
          <w:sz w:val="24"/>
          <w:szCs w:val="24"/>
          <w:lang w:val="en-US" w:eastAsia="zh-CN"/>
        </w:rPr>
        <w:t>投标</w:t>
      </w:r>
      <w:r>
        <w:rPr>
          <w:rFonts w:hint="eastAsia" w:ascii="宋体" w:hAnsi="宋体"/>
          <w:b/>
          <w:kern w:val="0"/>
          <w:sz w:val="24"/>
          <w:szCs w:val="24"/>
          <w:highlight w:val="yellow"/>
        </w:rPr>
        <w:t>保证金</w:t>
      </w:r>
      <w:r>
        <w:rPr>
          <w:rFonts w:hint="eastAsia" w:ascii="宋体" w:hAnsi="宋体"/>
          <w:kern w:val="0"/>
          <w:sz w:val="24"/>
          <w:szCs w:val="24"/>
          <w:highlight w:val="yellow"/>
        </w:rPr>
        <w:t>：1</w:t>
      </w:r>
      <w:r>
        <w:rPr>
          <w:rFonts w:ascii="宋体" w:hAnsi="宋体"/>
          <w:kern w:val="0"/>
          <w:sz w:val="24"/>
          <w:szCs w:val="24"/>
          <w:highlight w:val="yellow"/>
        </w:rPr>
        <w:t>0</w:t>
      </w:r>
      <w:r>
        <w:rPr>
          <w:rFonts w:hint="eastAsia" w:ascii="宋体" w:hAnsi="宋体"/>
          <w:kern w:val="0"/>
          <w:sz w:val="24"/>
          <w:szCs w:val="24"/>
          <w:highlight w:val="yellow"/>
        </w:rPr>
        <w:t>万元</w:t>
      </w:r>
      <w:r>
        <w:rPr>
          <w:rFonts w:hint="eastAsia" w:ascii="宋体" w:hAnsi="宋体"/>
          <w:kern w:val="0"/>
          <w:sz w:val="24"/>
          <w:szCs w:val="24"/>
        </w:rPr>
        <w:t>，</w:t>
      </w:r>
      <w:r>
        <w:rPr>
          <w:rFonts w:hint="eastAsia" w:ascii="宋体" w:hAnsi="宋体"/>
          <w:kern w:val="0"/>
          <w:sz w:val="24"/>
          <w:szCs w:val="24"/>
          <w:highlight w:val="yellow"/>
        </w:rPr>
        <w:t>可以转账支票或现金缴款至银行，网上银行企业转账电子回单须加盖单位公章，单据须和报价文件一同提交。报价人与询价人合同签订后五日内退还中标单位和落标单位的投标保证金。</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单位名称：内蒙古大地云天化工有限公司，纳税人识别号：9</w:t>
      </w:r>
      <w:r>
        <w:rPr>
          <w:rFonts w:ascii="宋体" w:hAnsi="宋体"/>
          <w:kern w:val="0"/>
          <w:sz w:val="24"/>
          <w:szCs w:val="24"/>
        </w:rPr>
        <w:t xml:space="preserve">115040309937591X9  </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地址：内蒙古赤峰市资源型城市经济转型开发试验区</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开户行：中国银行元宝山区支行营业部</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收款账号150850904664</w:t>
      </w:r>
      <w:r>
        <w:rPr>
          <w:rFonts w:ascii="宋体" w:hAnsi="宋体"/>
          <w:kern w:val="0"/>
          <w:sz w:val="24"/>
          <w:szCs w:val="24"/>
        </w:rPr>
        <w:t xml:space="preserve">  </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13  报价有效期</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13.1所投的标应从规定的开标之日起，在“报价人须知前附表”规定的以日历天计算的报价有效期内有效。</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13.2在特殊情况下，在原报价有效期期满之前，询价人可征得报价人的同意延长报价有效期。这种要求与答复均应为书面形式如传真等。报价人可以拒绝询价人的这种要求，同意延长的报价人既不能被要求也不允许修改其报价书。</w:t>
      </w:r>
    </w:p>
    <w:p>
      <w:pPr>
        <w:spacing w:line="360" w:lineRule="auto"/>
        <w:rPr>
          <w:rFonts w:ascii="宋体" w:hAnsi="宋体"/>
          <w:sz w:val="24"/>
          <w:szCs w:val="24"/>
        </w:rPr>
      </w:pPr>
      <w:r>
        <w:rPr>
          <w:rFonts w:hint="eastAsia" w:ascii="宋体" w:hAnsi="宋体"/>
          <w:sz w:val="24"/>
          <w:szCs w:val="24"/>
        </w:rPr>
        <w:t>13.3 本项目报价有效期详见报价人询价公告。</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14  报价书的式样和签署</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14.1报价人应按照报价人须知的要求准备报价书。</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14.2报价书需用不退色墨水打印，并由报价人或经其正式授权的代表签字，并加盖报价人公章。授权代表须将以书面形式出具的“法定代表人授权书”附在报价书中。报价书要求签字的地方应由报价人法定代表人或其授权代表签字。</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14.3除报价人对错处做必要修改外，报价书不得行间插字、涂改和增删，如有修改错漏处，必须由报价人法定代表人或其授权代表签字。</w:t>
      </w:r>
    </w:p>
    <w:p>
      <w:pPr>
        <w:autoSpaceDE w:val="0"/>
        <w:spacing w:line="360" w:lineRule="auto"/>
        <w:jc w:val="left"/>
        <w:textAlignment w:val="top"/>
        <w:rPr>
          <w:rFonts w:ascii="宋体" w:hAnsi="宋体"/>
          <w:kern w:val="0"/>
          <w:sz w:val="24"/>
          <w:szCs w:val="24"/>
        </w:rPr>
      </w:pPr>
    </w:p>
    <w:p>
      <w:pPr>
        <w:pStyle w:val="3"/>
        <w:spacing w:before="0" w:after="0" w:line="415" w:lineRule="auto"/>
        <w:jc w:val="center"/>
      </w:pPr>
      <w:bookmarkStart w:id="23" w:name="_Toc24168"/>
      <w:r>
        <w:rPr>
          <w:rFonts w:hint="eastAsia"/>
        </w:rPr>
        <w:t>第四节   报价文件递交</w:t>
      </w:r>
      <w:bookmarkEnd w:id="23"/>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15.1 报价书的密封和标记</w:t>
      </w:r>
    </w:p>
    <w:p>
      <w:pPr>
        <w:autoSpaceDE w:val="0"/>
        <w:spacing w:line="360" w:lineRule="auto"/>
        <w:jc w:val="left"/>
        <w:textAlignment w:val="top"/>
        <w:rPr>
          <w:rFonts w:ascii="Garamond" w:hAnsi="Garamond" w:eastAsia="隶书"/>
          <w:kern w:val="0"/>
          <w:sz w:val="28"/>
          <w:szCs w:val="28"/>
        </w:rPr>
      </w:pPr>
      <w:r>
        <w:rPr>
          <w:rFonts w:hint="eastAsia" w:ascii="Garamond" w:hAnsi="Garamond" w:eastAsia="隶书"/>
          <w:kern w:val="0"/>
          <w:sz w:val="28"/>
          <w:szCs w:val="28"/>
        </w:rPr>
        <w:t xml:space="preserve">   </w:t>
      </w:r>
      <w:r>
        <w:rPr>
          <w:rFonts w:hint="eastAsia" w:ascii="宋体" w:hAnsi="宋体"/>
          <w:kern w:val="0"/>
          <w:sz w:val="28"/>
          <w:szCs w:val="28"/>
        </w:rPr>
        <w:t xml:space="preserve"> </w:t>
      </w:r>
      <w:r>
        <w:rPr>
          <w:rFonts w:hint="eastAsia" w:ascii="宋体" w:hAnsi="宋体" w:cs="宋体"/>
          <w:kern w:val="0"/>
          <w:sz w:val="24"/>
          <w:szCs w:val="28"/>
          <w:lang w:val="zh-CN"/>
        </w:rPr>
        <w:t>报价人应将报价文件密封封包，</w:t>
      </w:r>
      <w:r>
        <w:rPr>
          <w:rFonts w:hint="eastAsia" w:ascii="宋体" w:hAnsi="宋体"/>
          <w:kern w:val="0"/>
          <w:sz w:val="24"/>
          <w:szCs w:val="24"/>
        </w:rPr>
        <w:t>封贴上均应注明“在（</w:t>
      </w:r>
      <w:r>
        <w:rPr>
          <w:rFonts w:ascii="宋体" w:hAnsi="宋体"/>
          <w:kern w:val="0"/>
          <w:sz w:val="24"/>
          <w:szCs w:val="24"/>
          <w:u w:val="single"/>
        </w:rPr>
        <w:t>2021</w:t>
      </w:r>
      <w:r>
        <w:rPr>
          <w:rFonts w:hint="eastAsia" w:ascii="宋体" w:hAnsi="宋体"/>
          <w:kern w:val="0"/>
          <w:sz w:val="24"/>
          <w:szCs w:val="24"/>
        </w:rPr>
        <w:t>年</w:t>
      </w:r>
      <w:r>
        <w:rPr>
          <w:rFonts w:ascii="宋体" w:hAnsi="宋体"/>
          <w:kern w:val="0"/>
          <w:sz w:val="24"/>
          <w:szCs w:val="24"/>
          <w:u w:val="single"/>
        </w:rPr>
        <w:t>12</w:t>
      </w:r>
      <w:r>
        <w:rPr>
          <w:rFonts w:hint="eastAsia" w:ascii="宋体" w:hAnsi="宋体"/>
          <w:kern w:val="0"/>
          <w:sz w:val="24"/>
          <w:szCs w:val="24"/>
        </w:rPr>
        <w:t>月</w:t>
      </w:r>
      <w:r>
        <w:rPr>
          <w:rFonts w:ascii="宋体" w:hAnsi="宋体"/>
          <w:kern w:val="0"/>
          <w:sz w:val="24"/>
          <w:szCs w:val="24"/>
          <w:u w:val="single"/>
        </w:rPr>
        <w:t>21</w:t>
      </w:r>
      <w:r>
        <w:rPr>
          <w:rFonts w:hint="eastAsia" w:ascii="宋体" w:hAnsi="宋体"/>
          <w:kern w:val="0"/>
          <w:sz w:val="24"/>
          <w:szCs w:val="24"/>
        </w:rPr>
        <w:t>日）之前不得启封”和货物名称、询价编号、报价人名称、地址、联系电话、报价日期，并在封贴周围加盖公章，以便如果报价书被宣布为“迟到”报价时，能原封退回。</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15.2报价文件应包括开标一览表。为方便开标唱标，报价人应将开标一览表单独密封提交，并在信封上标明“开标一览表”字样。</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15.3如果信封未按要求密封和加写标记，询价人对误投或提前启封概不负责。</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15.4报价文件份数</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报价文件纸质版二份（正副本）、可编辑的电子版报价文件一份，须密封后递交至</w:t>
      </w:r>
      <w:r>
        <w:rPr>
          <w:rFonts w:hint="eastAsia" w:ascii="宋体" w:hAnsi="宋体"/>
          <w:sz w:val="24"/>
          <w:szCs w:val="24"/>
        </w:rPr>
        <w:t>内蒙古赤峰市元宝山镇开发区内蒙古大地云天化工有限公司行政办公楼3楼工程部</w:t>
      </w:r>
      <w:r>
        <w:rPr>
          <w:rFonts w:hint="eastAsia" w:ascii="宋体" w:hAnsi="宋体"/>
          <w:kern w:val="0"/>
          <w:sz w:val="24"/>
          <w:szCs w:val="24"/>
        </w:rPr>
        <w:t>。</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16  报价截止期</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16.1报价人应在不迟于询价公告中规定的截止日期将报价书递交至询价公告指明的地址。</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16.2询价人可以按规定，通过修改询价文件自行决定酌情推迟报价截止日期。在此情况下，询价人和报价人受报价截止期制约的所有权利和义务均应延长至新的截止日期。</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16.3 迟交的报价</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 xml:space="preserve">    询价人将拒收并原封退回在“报价人须知及前附表”中规定的截止期后递交的任何报价书。</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17  报价书的修改和撤回</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17.1在报价截止期之后，报价人不得对其报价做任何修改或撤回。</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17.2根据规定，在报价截止期至询价人规定的报价有效期期满之间的这段时间，报价人不得撤回其报价。</w:t>
      </w:r>
    </w:p>
    <w:p>
      <w:pPr>
        <w:pStyle w:val="3"/>
        <w:spacing w:before="0" w:after="0" w:line="415" w:lineRule="auto"/>
        <w:jc w:val="center"/>
      </w:pPr>
      <w:bookmarkStart w:id="24" w:name="_Toc3002"/>
      <w:r>
        <w:rPr>
          <w:rFonts w:hint="eastAsia"/>
        </w:rPr>
        <w:t>第五节  开标与评标</w:t>
      </w:r>
      <w:bookmarkEnd w:id="24"/>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18  开标</w:t>
      </w:r>
    </w:p>
    <w:p>
      <w:pPr>
        <w:spacing w:line="360" w:lineRule="auto"/>
        <w:ind w:firstLine="480" w:firstLineChars="200"/>
        <w:rPr>
          <w:rFonts w:ascii="宋体" w:hAnsi="宋体"/>
          <w:sz w:val="24"/>
          <w:szCs w:val="24"/>
        </w:rPr>
      </w:pPr>
      <w:r>
        <w:rPr>
          <w:rFonts w:hint="eastAsia" w:ascii="宋体" w:hAnsi="宋体"/>
          <w:sz w:val="24"/>
          <w:szCs w:val="24"/>
        </w:rPr>
        <w:t>询价人自行组织开标，不邀请报价人参与开标。</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19  评标小组和评标办法</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19.1 询价人组建评标小组。评标小组将按照报价人须知和第五章规定的评标办法评标。评标小组对报价文件的评审，分为初步评审和详细评审。</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19.2 在评标期间，评标小组可要求报价人对其报价文件进行澄清，但不得寻求、提供或允许对报价价格等实质性内容做任何更改。有关澄清的要求和答复均应以书面形式提交。</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19.3 评标办法：综合评标法，详见第七章。</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 xml:space="preserve">20 </w:t>
      </w:r>
      <w:r>
        <w:rPr>
          <w:rFonts w:hint="eastAsia" w:ascii="宋体" w:hAnsi="宋体"/>
          <w:kern w:val="0"/>
          <w:sz w:val="24"/>
          <w:szCs w:val="24"/>
        </w:rPr>
        <w:t xml:space="preserve"> </w:t>
      </w:r>
      <w:r>
        <w:rPr>
          <w:rFonts w:hint="eastAsia" w:ascii="宋体" w:hAnsi="宋体"/>
          <w:b/>
          <w:kern w:val="0"/>
          <w:sz w:val="24"/>
          <w:szCs w:val="24"/>
        </w:rPr>
        <w:t>报价文件的初审</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20.1 评标小组将审查报价文体是否完整、有无计算上的错误、文件签署是否合格、有效期限是否符合规定。</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20.2 报价文件中的小写金额和大写金额不一致的，以大写金额为准。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20.3 在对报价文件进行详细评估之前，询价人将确定每一标书是否对询价文件的要求做出了实质性响应。实质性响应的报价应该是与询价文件要求的关键条款、条件和规格、技术要求相符，没有重大偏离的报价。询价人决定报价文件的响应性是基于报价文件内容本身而不依赖外部的证据。</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20.4报价文件不响应询价文件的实质性要求和条件的，经评标小组评审后作废标处理。报价人不得通过修正或撤销不合要求的偏离或保留从而使其报价成为实质上响应的报价。</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20.5下列情况属于没有实质性响应询价文件要求：</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（1）报价文件未按要求密封，或</w:t>
      </w:r>
      <w:r>
        <w:rPr>
          <w:rFonts w:hint="eastAsia" w:ascii="宋体" w:hAnsi="宋体"/>
          <w:b/>
          <w:kern w:val="0"/>
          <w:sz w:val="24"/>
          <w:szCs w:val="24"/>
        </w:rPr>
        <w:t>未经法定代表人或者授权代理人签字并加盖报价人公章</w:t>
      </w:r>
      <w:r>
        <w:rPr>
          <w:rFonts w:hint="eastAsia" w:ascii="宋体" w:hAnsi="宋体"/>
          <w:kern w:val="0"/>
          <w:sz w:val="24"/>
          <w:szCs w:val="24"/>
        </w:rPr>
        <w:t>；</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（2）报价文件字迹模糊、导致无法确认关键条款的。</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（3）报价人超出经营范围报价、资质证明文件不全不满足询价文件要求；</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（4）报价文件所提供技术服务不能满足询价文件要求；</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（5）商务报价表没填单价，或隐含单价并拒绝明确；</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（6）本询价文件中列出的其它构成实质性偏离的情形（询价人可依据项目具体情况明确构成实质性偏离的事项）。</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20.6 评标小组将允许报价中有微小的不正规、不一致或不规则，而该微小之处不构成重大偏离。</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20.7 在评标小组评标过程中，对于标书中存在的可能影响评标小组评标正确性的问题，评标小组有权要求报价人做进一步的澄清。</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21  报价评价</w:t>
      </w:r>
      <w:r>
        <w:rPr>
          <w:rFonts w:hint="eastAsia" w:ascii="宋体" w:hAnsi="宋体"/>
          <w:kern w:val="0"/>
          <w:sz w:val="24"/>
          <w:szCs w:val="24"/>
        </w:rPr>
        <w:t xml:space="preserve"> </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21.1 评标小组将按照第七章，只对确定为实质上响应询价文件要求的报价进行评价和比较。</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21.2</w:t>
      </w:r>
      <w:r>
        <w:rPr>
          <w:rFonts w:ascii="宋体" w:hAnsi="宋体"/>
          <w:kern w:val="0"/>
          <w:sz w:val="24"/>
          <w:szCs w:val="24"/>
        </w:rPr>
        <w:t>价格因素可能调整的内容包括报价范围偏差、报价缺漏项（或多项）内容的加价（或减价）、付款条件偏差引起的资金时间价值偏差等。</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 xml:space="preserve">22  评标基准价的确定 </w:t>
      </w:r>
    </w:p>
    <w:p>
      <w:pPr>
        <w:autoSpaceDE w:val="0"/>
        <w:spacing w:line="360" w:lineRule="auto"/>
        <w:ind w:left="480" w:hanging="480" w:hangingChars="200"/>
        <w:jc w:val="left"/>
        <w:textAlignment w:val="top"/>
        <w:rPr>
          <w:rFonts w:ascii="宋体" w:hAnsi="宋体"/>
          <w:kern w:val="0"/>
          <w:sz w:val="24"/>
          <w:szCs w:val="24"/>
        </w:rPr>
      </w:pPr>
      <w:r>
        <w:rPr>
          <w:rFonts w:hint="eastAsia" w:ascii="宋体" w:hAnsi="宋体"/>
          <w:kern w:val="0"/>
          <w:sz w:val="24"/>
          <w:szCs w:val="24"/>
        </w:rPr>
        <w:t>22.1根据第七章第2条款所计算出的评标价应为评标基准价。</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23  报价文件的澄清</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为有助于根据第七章对报价文件进行审查、评估，评标小组可以请报价人澄清其报价内容。提出澄清的要求与答复均应是书面的。</w:t>
      </w:r>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24 保密程序</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24.1 从开标日起到授予合同时止，有关报价文件的审查、澄清、评估以及有关授予合同的意向等情况询价人不得透露给报价人。</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24.</w:t>
      </w:r>
      <w:r>
        <w:rPr>
          <w:rFonts w:ascii="宋体" w:hAnsi="宋体"/>
          <w:kern w:val="0"/>
          <w:sz w:val="24"/>
          <w:szCs w:val="24"/>
        </w:rPr>
        <w:t>2</w:t>
      </w:r>
      <w:r>
        <w:rPr>
          <w:rFonts w:hint="eastAsia" w:ascii="宋体" w:hAnsi="宋体"/>
          <w:kern w:val="0"/>
          <w:sz w:val="24"/>
          <w:szCs w:val="24"/>
        </w:rPr>
        <w:t xml:space="preserve"> 报价人试图影响询价人在评标授予合同方面的任何尝试，均可能导致该报价人的报价被拒绝。</w:t>
      </w:r>
    </w:p>
    <w:p>
      <w:pPr>
        <w:autoSpaceDE w:val="0"/>
        <w:spacing w:line="360" w:lineRule="auto"/>
        <w:jc w:val="left"/>
        <w:textAlignment w:val="top"/>
        <w:rPr>
          <w:rFonts w:ascii="宋体" w:hAnsi="宋体"/>
          <w:kern w:val="0"/>
          <w:sz w:val="24"/>
          <w:szCs w:val="24"/>
        </w:rPr>
      </w:pPr>
      <w:r>
        <w:rPr>
          <w:rFonts w:hint="eastAsia" w:ascii="宋体" w:hAnsi="宋体"/>
          <w:b/>
          <w:kern w:val="0"/>
          <w:sz w:val="24"/>
          <w:szCs w:val="24"/>
        </w:rPr>
        <w:t>25  废标标准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25.1 报价文件内容违反国家法律法规；</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25.2 报价人串标、行贿、以他人名义报价或从事其他国家法律、法规规定为无效报价行为的；</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25.3 报价人虚报列表价或以明显低于成本的价格恶意扰乱询价工作；</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25.4 报价人对询价方要求报价人澄清的问题不予理睬或拒绝回答。</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25.5 其他构成废标的情形。</w:t>
      </w:r>
    </w:p>
    <w:p>
      <w:pPr>
        <w:autoSpaceDE w:val="0"/>
        <w:spacing w:line="360" w:lineRule="auto"/>
        <w:ind w:left="482" w:hanging="482" w:hangingChars="200"/>
        <w:jc w:val="left"/>
        <w:textAlignment w:val="top"/>
        <w:rPr>
          <w:rFonts w:ascii="宋体" w:hAnsi="宋体"/>
          <w:b/>
          <w:kern w:val="0"/>
          <w:sz w:val="24"/>
          <w:szCs w:val="24"/>
        </w:rPr>
      </w:pPr>
      <w:r>
        <w:rPr>
          <w:rFonts w:hint="eastAsia" w:ascii="宋体" w:hAnsi="宋体"/>
          <w:b/>
          <w:kern w:val="0"/>
          <w:sz w:val="24"/>
          <w:szCs w:val="24"/>
        </w:rPr>
        <w:t xml:space="preserve">26  中标人的确定原则 </w:t>
      </w:r>
    </w:p>
    <w:p>
      <w:pPr>
        <w:spacing w:line="360" w:lineRule="auto"/>
        <w:rPr>
          <w:rFonts w:ascii="宋体" w:hAnsi="宋体" w:cs="宋体"/>
          <w:kern w:val="0"/>
          <w:sz w:val="24"/>
          <w:szCs w:val="24"/>
        </w:rPr>
      </w:pPr>
      <w:r>
        <w:rPr>
          <w:rFonts w:hint="eastAsia" w:ascii="宋体" w:hAnsi="宋体"/>
          <w:kern w:val="0"/>
          <w:sz w:val="24"/>
          <w:szCs w:val="24"/>
        </w:rPr>
        <w:t>26.1</w:t>
      </w:r>
      <w:r>
        <w:rPr>
          <w:rFonts w:hint="eastAsia" w:ascii="宋体" w:hAnsi="宋体"/>
          <w:sz w:val="24"/>
          <w:szCs w:val="24"/>
        </w:rPr>
        <w:t>询价人将按经评标办法评标推荐的中标候选人顺序确定中标人。</w:t>
      </w:r>
    </w:p>
    <w:p>
      <w:pPr>
        <w:widowControl/>
        <w:spacing w:line="360" w:lineRule="auto"/>
        <w:jc w:val="left"/>
        <w:rPr>
          <w:rFonts w:ascii="宋体" w:hAnsi="宋体" w:cs="宋体"/>
          <w:kern w:val="0"/>
          <w:sz w:val="24"/>
          <w:szCs w:val="24"/>
        </w:rPr>
      </w:pPr>
      <w:r>
        <w:rPr>
          <w:rFonts w:hint="eastAsia" w:ascii="宋体" w:hAnsi="宋体"/>
          <w:sz w:val="24"/>
          <w:szCs w:val="24"/>
        </w:rPr>
        <w:t>26.2</w:t>
      </w:r>
      <w:r>
        <w:rPr>
          <w:rFonts w:hint="eastAsia" w:ascii="宋体" w:hAnsi="宋体" w:cs="宋体"/>
          <w:kern w:val="0"/>
          <w:sz w:val="24"/>
          <w:szCs w:val="24"/>
        </w:rPr>
        <w:t>中标价格执行：本项目中标价格执行单价。</w:t>
      </w:r>
    </w:p>
    <w:p>
      <w:pPr>
        <w:widowControl/>
        <w:spacing w:line="360" w:lineRule="auto"/>
        <w:jc w:val="left"/>
        <w:rPr>
          <w:rFonts w:ascii="宋体" w:hAnsi="宋体" w:cs="宋体"/>
          <w:b/>
          <w:kern w:val="0"/>
          <w:sz w:val="24"/>
          <w:szCs w:val="24"/>
        </w:rPr>
      </w:pPr>
      <w:r>
        <w:rPr>
          <w:rFonts w:hint="eastAsia" w:ascii="宋体" w:hAnsi="宋体"/>
          <w:b/>
          <w:kern w:val="0"/>
          <w:sz w:val="24"/>
          <w:szCs w:val="24"/>
        </w:rPr>
        <w:t xml:space="preserve">27  </w:t>
      </w:r>
      <w:r>
        <w:rPr>
          <w:rFonts w:hint="eastAsia" w:ascii="宋体" w:hAnsi="宋体" w:cs="宋体"/>
          <w:b/>
          <w:kern w:val="0"/>
          <w:sz w:val="24"/>
          <w:szCs w:val="24"/>
        </w:rPr>
        <w:t>报价人有下列行为之一的，报价无效。</w:t>
      </w:r>
    </w:p>
    <w:p>
      <w:pPr>
        <w:widowControl/>
        <w:spacing w:line="360" w:lineRule="auto"/>
        <w:jc w:val="left"/>
        <w:rPr>
          <w:rFonts w:ascii="宋体" w:hAnsi="宋体" w:cs="宋体"/>
          <w:kern w:val="0"/>
          <w:sz w:val="24"/>
          <w:szCs w:val="24"/>
        </w:rPr>
      </w:pPr>
      <w:r>
        <w:rPr>
          <w:rFonts w:hint="eastAsia" w:ascii="宋体" w:hAnsi="宋体"/>
          <w:kern w:val="0"/>
          <w:sz w:val="24"/>
          <w:szCs w:val="24"/>
        </w:rPr>
        <w:t>27.1</w:t>
      </w:r>
      <w:r>
        <w:rPr>
          <w:rFonts w:hint="eastAsia" w:ascii="宋体" w:hAnsi="宋体" w:cs="宋体"/>
          <w:kern w:val="0"/>
          <w:sz w:val="24"/>
          <w:szCs w:val="24"/>
        </w:rPr>
        <w:t>报价文件未经报价</w:t>
      </w:r>
      <w:r>
        <w:rPr>
          <w:rFonts w:hint="eastAsia" w:ascii="宋体" w:hAnsi="宋体" w:cs="宋体"/>
          <w:b/>
          <w:kern w:val="0"/>
          <w:sz w:val="24"/>
          <w:szCs w:val="24"/>
        </w:rPr>
        <w:t>单位盖章和单位负责人签字</w:t>
      </w:r>
      <w:r>
        <w:rPr>
          <w:rFonts w:hint="eastAsia" w:ascii="宋体" w:hAnsi="宋体" w:cs="宋体"/>
          <w:kern w:val="0"/>
          <w:sz w:val="24"/>
          <w:szCs w:val="24"/>
        </w:rPr>
        <w:t>（签字人不是法定代表人需提供法定代表人有效委托书）；</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2报价人不符合询价文件规定的资格条件；</w:t>
      </w:r>
    </w:p>
    <w:p>
      <w:pPr>
        <w:widowControl/>
        <w:spacing w:line="360" w:lineRule="auto"/>
        <w:jc w:val="left"/>
        <w:rPr>
          <w:rFonts w:ascii="宋体" w:hAnsi="宋体" w:cs="宋体"/>
          <w:kern w:val="0"/>
          <w:sz w:val="24"/>
          <w:szCs w:val="24"/>
        </w:rPr>
      </w:pPr>
      <w:r>
        <w:rPr>
          <w:rFonts w:hint="eastAsia" w:ascii="宋体" w:hAnsi="宋体"/>
          <w:kern w:val="0"/>
          <w:sz w:val="24"/>
          <w:szCs w:val="24"/>
        </w:rPr>
        <w:t>27.3</w:t>
      </w:r>
      <w:r>
        <w:rPr>
          <w:rFonts w:hint="eastAsia" w:ascii="宋体" w:hAnsi="宋体" w:cs="宋体"/>
          <w:kern w:val="0"/>
          <w:sz w:val="24"/>
          <w:szCs w:val="24"/>
        </w:rPr>
        <w:t>单项报价为零或不填写报价；</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4报价文件未对询价文件的实质性要求和条件作出响应；</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5存在围标、串标、弄虚作假、行贿等违规行为；</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6报价文件中未提供有效的营业执照副本影印件或营业执照不含标的物的；</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7报价函未按询价文件规定的格式填写，内容不全或关键字迹无法辨认；</w:t>
      </w:r>
    </w:p>
    <w:p>
      <w:pPr>
        <w:widowControl/>
        <w:spacing w:line="360" w:lineRule="auto"/>
        <w:jc w:val="left"/>
        <w:rPr>
          <w:rFonts w:ascii="宋体" w:hAnsi="宋体" w:cs="宋体"/>
          <w:kern w:val="0"/>
          <w:sz w:val="24"/>
          <w:szCs w:val="24"/>
        </w:rPr>
      </w:pPr>
      <w:r>
        <w:rPr>
          <w:rFonts w:hint="eastAsia" w:ascii="宋体" w:hAnsi="宋体"/>
          <w:kern w:val="0"/>
          <w:sz w:val="24"/>
          <w:szCs w:val="24"/>
        </w:rPr>
        <w:t>27.</w:t>
      </w:r>
      <w:r>
        <w:rPr>
          <w:rFonts w:hint="eastAsia" w:ascii="宋体" w:hAnsi="宋体" w:cs="宋体"/>
          <w:kern w:val="0"/>
          <w:sz w:val="24"/>
          <w:szCs w:val="24"/>
        </w:rPr>
        <w:t>8无正当理由不按要求对报价文件进行澄清、说明或补正。</w:t>
      </w:r>
    </w:p>
    <w:p>
      <w:pPr>
        <w:widowControl/>
        <w:spacing w:line="360" w:lineRule="auto"/>
        <w:jc w:val="left"/>
        <w:rPr>
          <w:rFonts w:ascii="宋体" w:hAnsi="宋体" w:cs="宋体"/>
          <w:kern w:val="0"/>
          <w:sz w:val="24"/>
          <w:szCs w:val="24"/>
        </w:rPr>
      </w:pPr>
    </w:p>
    <w:p>
      <w:pPr>
        <w:pStyle w:val="3"/>
        <w:spacing w:before="0" w:after="0" w:line="415" w:lineRule="auto"/>
        <w:jc w:val="center"/>
      </w:pPr>
      <w:bookmarkStart w:id="25" w:name="_Toc22831"/>
      <w:r>
        <w:rPr>
          <w:rFonts w:hint="eastAsia"/>
        </w:rPr>
        <w:t>第六节  授予合同</w:t>
      </w:r>
      <w:bookmarkEnd w:id="25"/>
    </w:p>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28  合同授予前的审查</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28.1在授予合同前，询价人发现评标小组推荐的中标候选人的经营、财务状况发生较大变化或存在违法行为，认为可能影响其履约能力的，询价人有权在发出中标通知书前由评标小组按照询价文件规定的标准和方法重新审查确认。</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28.2 如果报价人被确定为无能力履行合同，其报价将被拒绝。</w:t>
      </w:r>
    </w:p>
    <w:p>
      <w:pPr>
        <w:autoSpaceDE w:val="0"/>
        <w:spacing w:line="360" w:lineRule="auto"/>
        <w:jc w:val="left"/>
        <w:textAlignment w:val="top"/>
        <w:rPr>
          <w:rFonts w:ascii="宋体" w:hAnsi="宋体"/>
          <w:b/>
          <w:kern w:val="0"/>
          <w:sz w:val="24"/>
          <w:szCs w:val="24"/>
        </w:rPr>
      </w:pPr>
      <w:bookmarkStart w:id="26" w:name="OLE_LINK1"/>
      <w:r>
        <w:rPr>
          <w:rFonts w:hint="eastAsia" w:ascii="宋体" w:hAnsi="宋体"/>
          <w:b/>
          <w:kern w:val="0"/>
          <w:sz w:val="24"/>
          <w:szCs w:val="24"/>
        </w:rPr>
        <w:t>29  合同授予标准</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highlight w:val="none"/>
        </w:rPr>
        <w:t>询价人有权将合同授予一家、两家或三家中标候选人。</w:t>
      </w:r>
    </w:p>
    <w:bookmarkEnd w:id="26"/>
    <w:p>
      <w:pPr>
        <w:autoSpaceDE w:val="0"/>
        <w:spacing w:line="360" w:lineRule="auto"/>
        <w:jc w:val="left"/>
        <w:textAlignment w:val="top"/>
        <w:rPr>
          <w:rFonts w:ascii="宋体" w:hAnsi="宋体"/>
          <w:b/>
          <w:kern w:val="0"/>
          <w:sz w:val="24"/>
          <w:szCs w:val="24"/>
        </w:rPr>
      </w:pPr>
      <w:r>
        <w:rPr>
          <w:rFonts w:hint="eastAsia" w:ascii="宋体" w:hAnsi="宋体"/>
          <w:b/>
          <w:kern w:val="0"/>
          <w:sz w:val="24"/>
          <w:szCs w:val="24"/>
        </w:rPr>
        <w:t xml:space="preserve">30 </w:t>
      </w:r>
      <w:r>
        <w:rPr>
          <w:rFonts w:hint="eastAsia" w:ascii="宋体" w:hAnsi="宋体"/>
          <w:kern w:val="0"/>
          <w:sz w:val="24"/>
          <w:szCs w:val="24"/>
        </w:rPr>
        <w:t xml:space="preserve"> </w:t>
      </w:r>
      <w:r>
        <w:rPr>
          <w:rFonts w:hint="eastAsia" w:ascii="宋体" w:hAnsi="宋体"/>
          <w:b/>
          <w:kern w:val="0"/>
          <w:sz w:val="24"/>
          <w:szCs w:val="24"/>
        </w:rPr>
        <w:t>签订合同</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30.1中标人在收到通知后，应按通知规定与询价人进行合同洽谈，视结果签订合同。若中标人未对询价文件提出过偏离、保留或反对，则被视为中标人已完全接受了询价文件，中标人无权在合同签订前要求修改合同条款。若中标人已对询价文件提出了偏离、保留或反对，则中标人仅可就其已提出的偏离、保留或反对与询价人进行磋商。如经磋商最终达不成一致意见，询价人有权不与中标人签约、取消其中标资格而不承担任何责任。在此情况下，询价人有权按照评标小组提出的中标候选人排序依次确定其他中标候选人为中标人，也可以重新询价。</w:t>
      </w:r>
    </w:p>
    <w:p>
      <w:pPr>
        <w:autoSpaceDE w:val="0"/>
        <w:spacing w:line="360" w:lineRule="auto"/>
        <w:jc w:val="left"/>
        <w:textAlignment w:val="top"/>
        <w:rPr>
          <w:rFonts w:ascii="宋体" w:hAnsi="宋体"/>
          <w:b/>
          <w:kern w:val="0"/>
          <w:sz w:val="24"/>
          <w:szCs w:val="24"/>
          <w:u w:val="single"/>
        </w:rPr>
      </w:pPr>
      <w:r>
        <w:rPr>
          <w:rFonts w:hint="eastAsia" w:ascii="宋体" w:hAnsi="宋体"/>
          <w:b/>
          <w:kern w:val="0"/>
          <w:sz w:val="24"/>
          <w:szCs w:val="24"/>
        </w:rPr>
        <w:t>31 履约保证金</w:t>
      </w:r>
      <w:r>
        <w:rPr>
          <w:rFonts w:hint="eastAsia" w:ascii="宋体" w:hAnsi="宋体"/>
          <w:kern w:val="0"/>
          <w:sz w:val="24"/>
          <w:szCs w:val="24"/>
        </w:rPr>
        <w:t>：</w:t>
      </w:r>
      <w:r>
        <w:rPr>
          <w:rFonts w:hint="eastAsia" w:ascii="宋体" w:hAnsi="宋体"/>
          <w:kern w:val="0"/>
          <w:sz w:val="24"/>
          <w:szCs w:val="24"/>
          <w:u w:val="single"/>
        </w:rPr>
        <w:t>总额100万元</w:t>
      </w:r>
    </w:p>
    <w:p>
      <w:pPr>
        <w:pStyle w:val="3"/>
        <w:spacing w:before="0" w:after="0" w:line="415" w:lineRule="auto"/>
        <w:jc w:val="center"/>
      </w:pPr>
      <w:bookmarkStart w:id="27" w:name="_Toc20996"/>
      <w:r>
        <w:rPr>
          <w:rFonts w:hint="eastAsia"/>
        </w:rPr>
        <w:t>第七节  其它需要说明事项</w:t>
      </w:r>
      <w:bookmarkEnd w:id="27"/>
    </w:p>
    <w:p>
      <w:pPr>
        <w:spacing w:line="360" w:lineRule="auto"/>
        <w:rPr>
          <w:rFonts w:ascii="宋体" w:hAnsi="宋体" w:cs="宋体"/>
          <w:b/>
          <w:kern w:val="0"/>
          <w:sz w:val="24"/>
          <w:szCs w:val="24"/>
        </w:rPr>
      </w:pPr>
      <w:r>
        <w:rPr>
          <w:rFonts w:hint="eastAsia" w:ascii="宋体" w:hAnsi="宋体" w:cs="宋体"/>
          <w:b/>
          <w:kern w:val="0"/>
          <w:sz w:val="24"/>
          <w:szCs w:val="24"/>
        </w:rPr>
        <w:t>33  报价人承诺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⑴报价文件中提供的资料全部真实可靠、无任何弄虚作假行为。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⑵不与他人恶意串通，不围标串标。</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⑶不向相关人员行贿谋取不正当利益。</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⑷不诋毁、排挤其他报价人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⑸不损害询价人和其他报价人的合法权益。</w:t>
      </w:r>
    </w:p>
    <w:p>
      <w:pPr>
        <w:spacing w:line="360" w:lineRule="auto"/>
        <w:rPr>
          <w:rFonts w:ascii="宋体" w:hAnsi="宋体" w:cs="宋体"/>
          <w:b/>
          <w:kern w:val="0"/>
          <w:sz w:val="24"/>
          <w:szCs w:val="24"/>
        </w:rPr>
      </w:pPr>
      <w:r>
        <w:rPr>
          <w:rFonts w:hint="eastAsia" w:ascii="宋体" w:hAnsi="宋体" w:cs="宋体"/>
          <w:b/>
          <w:kern w:val="0"/>
          <w:sz w:val="24"/>
          <w:szCs w:val="24"/>
        </w:rPr>
        <w:t>34  中标人承诺：</w:t>
      </w:r>
    </w:p>
    <w:p>
      <w:pPr>
        <w:spacing w:line="360" w:lineRule="auto"/>
        <w:rPr>
          <w:rFonts w:ascii="宋体" w:hAnsi="宋体" w:cs="宋体"/>
          <w:kern w:val="0"/>
          <w:sz w:val="24"/>
          <w:szCs w:val="24"/>
        </w:rPr>
      </w:pPr>
      <w:r>
        <w:rPr>
          <w:rFonts w:hint="eastAsia" w:ascii="宋体" w:hAnsi="宋体" w:cs="宋体"/>
          <w:kern w:val="0"/>
          <w:sz w:val="24"/>
          <w:szCs w:val="24"/>
        </w:rPr>
        <w:t>34.1责任承诺：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⑴我公司如能中标，保证认真严格履行询价文件、报价文件和买卖合同中相关承诺约定。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⑵我公司如能中标，按询价文件规定签署合同。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⑶接受询价人相关部门对我公司组织的后期审查。</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⑷接受询价人对我公司组织的交货情况的监督抽查。</w:t>
      </w:r>
    </w:p>
    <w:p>
      <w:pPr>
        <w:spacing w:line="360" w:lineRule="auto"/>
        <w:rPr>
          <w:rFonts w:ascii="宋体" w:hAnsi="宋体" w:cs="宋体"/>
          <w:kern w:val="0"/>
          <w:sz w:val="24"/>
          <w:szCs w:val="24"/>
        </w:rPr>
      </w:pPr>
      <w:r>
        <w:rPr>
          <w:rFonts w:hint="eastAsia" w:ascii="宋体" w:hAnsi="宋体" w:cs="宋体"/>
          <w:kern w:val="0"/>
          <w:sz w:val="24"/>
          <w:szCs w:val="24"/>
        </w:rPr>
        <w:t xml:space="preserve">34.2服务承诺 </w:t>
      </w:r>
    </w:p>
    <w:p>
      <w:pPr>
        <w:spacing w:line="360" w:lineRule="auto"/>
        <w:ind w:firstLine="360" w:firstLineChars="150"/>
        <w:rPr>
          <w:rFonts w:ascii="宋体" w:hAnsi="宋体" w:cs="宋体"/>
          <w:kern w:val="0"/>
          <w:sz w:val="24"/>
          <w:szCs w:val="24"/>
        </w:rPr>
      </w:pPr>
      <w:r>
        <w:rPr>
          <w:rFonts w:hint="eastAsia" w:ascii="宋体" w:hAnsi="宋体" w:cs="宋体"/>
          <w:kern w:val="0"/>
          <w:sz w:val="24"/>
          <w:szCs w:val="24"/>
        </w:rPr>
        <w:t>（1）保质保量按时完成询价人下达的生产作业指令</w:t>
      </w:r>
    </w:p>
    <w:p>
      <w:pPr>
        <w:spacing w:line="360" w:lineRule="auto"/>
        <w:ind w:firstLine="360" w:firstLineChars="150"/>
        <w:rPr>
          <w:rFonts w:ascii="宋体" w:hAnsi="宋体" w:cs="宋体"/>
          <w:kern w:val="0"/>
          <w:sz w:val="24"/>
          <w:szCs w:val="24"/>
        </w:rPr>
      </w:pPr>
      <w:r>
        <w:rPr>
          <w:rFonts w:hint="eastAsia" w:ascii="宋体" w:hAnsi="宋体" w:cs="宋体"/>
          <w:kern w:val="0"/>
          <w:sz w:val="24"/>
          <w:szCs w:val="24"/>
        </w:rPr>
        <w:t>（2）服从询价人的管理和考核。</w:t>
      </w:r>
    </w:p>
    <w:p>
      <w:pPr>
        <w:spacing w:line="360" w:lineRule="auto"/>
        <w:ind w:firstLine="360" w:firstLineChars="150"/>
        <w:rPr>
          <w:rFonts w:ascii="宋体" w:hAnsi="宋体" w:cs="宋体"/>
          <w:kern w:val="0"/>
          <w:sz w:val="24"/>
          <w:szCs w:val="24"/>
        </w:rPr>
      </w:pPr>
      <w:r>
        <w:rPr>
          <w:rFonts w:hint="eastAsia" w:ascii="宋体" w:hAnsi="宋体" w:cs="宋体"/>
          <w:kern w:val="0"/>
          <w:sz w:val="24"/>
          <w:szCs w:val="24"/>
        </w:rPr>
        <w:t>（3）有严格的物流现场管理制度，安全科学地进行装卸作业，确保装卸全过程人员及货物安全可靠。</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如违反上述承诺，愿意接受合同规定的处罚。</w:t>
      </w:r>
    </w:p>
    <w:p>
      <w:pPr>
        <w:spacing w:line="360" w:lineRule="auto"/>
        <w:rPr>
          <w:rFonts w:ascii="宋体" w:hAnsi="宋体" w:cs="宋体"/>
          <w:b/>
          <w:kern w:val="0"/>
          <w:sz w:val="24"/>
          <w:szCs w:val="24"/>
        </w:rPr>
      </w:pPr>
      <w:r>
        <w:rPr>
          <w:rFonts w:hint="eastAsia" w:ascii="宋体" w:hAnsi="宋体" w:cs="宋体"/>
          <w:b/>
          <w:kern w:val="0"/>
          <w:sz w:val="24"/>
          <w:szCs w:val="24"/>
        </w:rPr>
        <w:t>35  询价中止或重新询价</w:t>
      </w:r>
    </w:p>
    <w:p>
      <w:pPr>
        <w:spacing w:line="360" w:lineRule="auto"/>
        <w:rPr>
          <w:rFonts w:ascii="宋体" w:hAnsi="宋体" w:cs="宋体"/>
          <w:kern w:val="0"/>
          <w:sz w:val="24"/>
          <w:szCs w:val="24"/>
        </w:rPr>
      </w:pPr>
      <w:r>
        <w:rPr>
          <w:rFonts w:hint="eastAsia" w:ascii="宋体" w:hAnsi="宋体" w:cs="宋体"/>
          <w:kern w:val="0"/>
          <w:sz w:val="24"/>
          <w:szCs w:val="24"/>
        </w:rPr>
        <w:t>询价人保留在任何时间中止询价或重新询价的权利。</w:t>
      </w:r>
    </w:p>
    <w:p>
      <w:pPr>
        <w:spacing w:line="360" w:lineRule="auto"/>
        <w:rPr>
          <w:rFonts w:ascii="宋体" w:hAnsi="宋体" w:cs="宋体"/>
          <w:kern w:val="0"/>
          <w:sz w:val="24"/>
          <w:szCs w:val="24"/>
        </w:rPr>
      </w:pPr>
    </w:p>
    <w:p>
      <w:pPr>
        <w:pStyle w:val="2"/>
        <w:spacing w:before="0" w:after="0" w:line="360" w:lineRule="auto"/>
        <w:jc w:val="center"/>
        <w:rPr>
          <w:rFonts w:ascii="宋体" w:hAnsi="宋体"/>
          <w:w w:val="90"/>
        </w:rPr>
      </w:pPr>
      <w:bookmarkStart w:id="28" w:name="_Toc24474"/>
      <w:r>
        <w:rPr>
          <w:rFonts w:hint="eastAsia" w:ascii="宋体" w:hAnsi="宋体"/>
          <w:bCs w:val="0"/>
          <w:w w:val="90"/>
        </w:rPr>
        <w:t>第四章  询价内容及要求</w:t>
      </w:r>
      <w:bookmarkEnd w:id="28"/>
    </w:p>
    <w:p>
      <w:pPr>
        <w:spacing w:line="360" w:lineRule="auto"/>
        <w:outlineLvl w:val="2"/>
        <w:rPr>
          <w:rFonts w:ascii="宋体" w:hAnsi="宋体"/>
          <w:b/>
          <w:bCs/>
          <w:sz w:val="24"/>
          <w:szCs w:val="24"/>
        </w:rPr>
      </w:pPr>
      <w:bookmarkStart w:id="29" w:name="_Toc15238"/>
      <w:r>
        <w:rPr>
          <w:rFonts w:hint="eastAsia" w:ascii="宋体" w:hAnsi="宋体"/>
          <w:b/>
          <w:bCs/>
          <w:sz w:val="24"/>
          <w:szCs w:val="24"/>
        </w:rPr>
        <w:t>1  业务承包范围</w:t>
      </w:r>
      <w:bookmarkEnd w:id="29"/>
    </w:p>
    <w:p>
      <w:pPr>
        <w:kinsoku w:val="0"/>
        <w:wordWrap w:val="0"/>
        <w:overflowPunct w:val="0"/>
        <w:autoSpaceDE w:val="0"/>
        <w:autoSpaceDN w:val="0"/>
        <w:spacing w:line="360" w:lineRule="auto"/>
        <w:ind w:firstLine="480" w:firstLineChars="200"/>
        <w:rPr>
          <w:rFonts w:ascii="宋体" w:hAnsi="宋体" w:cs="宋体"/>
          <w:bCs/>
          <w:sz w:val="24"/>
          <w:szCs w:val="24"/>
        </w:rPr>
      </w:pPr>
      <w:bookmarkStart w:id="30" w:name="_Toc4843"/>
      <w:r>
        <w:rPr>
          <w:rFonts w:hint="eastAsia" w:ascii="宋体" w:hAnsi="宋体" w:cs="宋体"/>
          <w:bCs/>
          <w:sz w:val="24"/>
          <w:szCs w:val="24"/>
          <w:lang w:val="zh-CN"/>
        </w:rPr>
        <w:t>化肥着色、包裹技术服务：预计化肥数量为</w:t>
      </w:r>
      <w:r>
        <w:rPr>
          <w:rFonts w:ascii="宋体" w:hAnsi="宋体" w:cs="宋体"/>
          <w:bCs/>
          <w:sz w:val="24"/>
          <w:szCs w:val="24"/>
        </w:rPr>
        <w:t>85</w:t>
      </w:r>
      <w:r>
        <w:rPr>
          <w:rFonts w:hint="eastAsia" w:ascii="宋体" w:hAnsi="宋体" w:cs="宋体"/>
          <w:bCs/>
          <w:sz w:val="24"/>
          <w:szCs w:val="24"/>
        </w:rPr>
        <w:t>万吨/年。</w:t>
      </w:r>
    </w:p>
    <w:p>
      <w:pPr>
        <w:spacing w:line="360" w:lineRule="auto"/>
        <w:outlineLvl w:val="2"/>
        <w:rPr>
          <w:rFonts w:ascii="宋体" w:hAnsi="宋体"/>
          <w:b/>
          <w:bCs/>
          <w:sz w:val="24"/>
          <w:szCs w:val="24"/>
        </w:rPr>
      </w:pPr>
      <w:r>
        <w:rPr>
          <w:rFonts w:hint="eastAsia" w:ascii="宋体" w:hAnsi="宋体"/>
          <w:b/>
          <w:bCs/>
          <w:sz w:val="24"/>
          <w:szCs w:val="24"/>
        </w:rPr>
        <w:t>2  业务承包内容</w:t>
      </w:r>
      <w:bookmarkEnd w:id="30"/>
    </w:p>
    <w:p>
      <w:pPr>
        <w:kinsoku w:val="0"/>
        <w:wordWrap w:val="0"/>
        <w:overflowPunct w:val="0"/>
        <w:autoSpaceDE w:val="0"/>
        <w:autoSpaceDN w:val="0"/>
        <w:spacing w:line="360" w:lineRule="auto"/>
        <w:rPr>
          <w:rFonts w:ascii="宋体" w:hAnsi="宋体" w:cs="宋体"/>
          <w:bCs/>
          <w:sz w:val="24"/>
          <w:szCs w:val="24"/>
        </w:rPr>
      </w:pPr>
      <w:r>
        <w:rPr>
          <w:rFonts w:hint="eastAsia" w:ascii="宋体" w:hAnsi="宋体" w:cs="宋体"/>
          <w:bCs/>
          <w:sz w:val="24"/>
          <w:szCs w:val="24"/>
        </w:rPr>
        <w:t>2.1工作区域：60万吨/年缓控释肥装置、25万吨/年NPK装置。</w:t>
      </w:r>
    </w:p>
    <w:p>
      <w:pPr>
        <w:kinsoku w:val="0"/>
        <w:wordWrap w:val="0"/>
        <w:overflowPunct w:val="0"/>
        <w:autoSpaceDE w:val="0"/>
        <w:autoSpaceDN w:val="0"/>
        <w:spacing w:line="360" w:lineRule="auto"/>
        <w:rPr>
          <w:rFonts w:ascii="宋体" w:hAnsi="宋体" w:cs="宋体"/>
          <w:bCs/>
          <w:sz w:val="24"/>
          <w:szCs w:val="24"/>
        </w:rPr>
      </w:pPr>
      <w:r>
        <w:rPr>
          <w:rFonts w:hint="eastAsia" w:ascii="宋体" w:hAnsi="宋体" w:cs="宋体"/>
          <w:bCs/>
          <w:sz w:val="24"/>
          <w:szCs w:val="24"/>
        </w:rPr>
        <w:t>2.2工作内容：负责60万吨/年缓控释肥装置、25万吨/年NPK装置化肥着色、包裹业务操作，包含人员跟班技术服务，染色技术方案，提供添加所需原料、控制设备并承担其原料、维护、检修费用。</w:t>
      </w:r>
    </w:p>
    <w:p>
      <w:pPr>
        <w:kinsoku w:val="0"/>
        <w:wordWrap w:val="0"/>
        <w:overflowPunct w:val="0"/>
        <w:autoSpaceDE w:val="0"/>
        <w:autoSpaceDN w:val="0"/>
        <w:spacing w:line="360" w:lineRule="auto"/>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3</w:t>
      </w:r>
      <w:r>
        <w:rPr>
          <w:rFonts w:hint="eastAsia" w:ascii="宋体" w:hAnsi="宋体" w:cs="宋体"/>
          <w:bCs/>
          <w:sz w:val="24"/>
          <w:szCs w:val="24"/>
        </w:rPr>
        <w:t xml:space="preserve"> 作业时间：正常生产时24小时连续作业。</w:t>
      </w:r>
    </w:p>
    <w:p>
      <w:pPr>
        <w:kinsoku w:val="0"/>
        <w:wordWrap w:val="0"/>
        <w:overflowPunct w:val="0"/>
        <w:autoSpaceDE w:val="0"/>
        <w:autoSpaceDN w:val="0"/>
        <w:spacing w:line="360" w:lineRule="auto"/>
        <w:rPr>
          <w:rFonts w:ascii="宋体" w:hAnsi="宋体" w:cs="宋体"/>
          <w:bCs/>
          <w:sz w:val="24"/>
          <w:szCs w:val="24"/>
        </w:rPr>
      </w:pPr>
      <w:r>
        <w:rPr>
          <w:rFonts w:hint="eastAsia" w:ascii="宋体" w:hAnsi="宋体" w:cs="宋体"/>
          <w:bCs/>
          <w:sz w:val="24"/>
          <w:szCs w:val="24"/>
        </w:rPr>
        <w:t>2.</w:t>
      </w:r>
      <w:r>
        <w:rPr>
          <w:rFonts w:ascii="宋体" w:hAnsi="宋体" w:cs="宋体"/>
          <w:bCs/>
          <w:sz w:val="24"/>
          <w:szCs w:val="24"/>
        </w:rPr>
        <w:t>4</w:t>
      </w:r>
      <w:r>
        <w:rPr>
          <w:rFonts w:hint="eastAsia" w:ascii="宋体" w:hAnsi="宋体" w:cs="宋体"/>
          <w:bCs/>
          <w:sz w:val="24"/>
          <w:szCs w:val="24"/>
        </w:rPr>
        <w:t xml:space="preserve"> 作业方式：四班二倒或报价人认为合适的方式。</w:t>
      </w:r>
    </w:p>
    <w:p>
      <w:pPr>
        <w:spacing w:line="360" w:lineRule="auto"/>
        <w:outlineLvl w:val="2"/>
        <w:rPr>
          <w:rFonts w:cs="Times New Roman" w:asciiTheme="minorEastAsia" w:hAnsiTheme="minorEastAsia"/>
          <w:b/>
          <w:bCs/>
          <w:sz w:val="24"/>
          <w:szCs w:val="24"/>
        </w:rPr>
      </w:pPr>
      <w:bookmarkStart w:id="31" w:name="_Toc8111"/>
      <w:r>
        <w:rPr>
          <w:rFonts w:hint="eastAsia" w:ascii="宋体" w:hAnsi="宋体"/>
          <w:b/>
          <w:bCs/>
          <w:sz w:val="24"/>
          <w:szCs w:val="24"/>
        </w:rPr>
        <w:t>3  人员、设施配置原则</w:t>
      </w:r>
      <w:bookmarkEnd w:id="31"/>
    </w:p>
    <w:p>
      <w:pPr>
        <w:spacing w:line="360" w:lineRule="auto"/>
        <w:rPr>
          <w:rFonts w:ascii="宋体" w:hAnsi="宋体" w:cs="宋体"/>
          <w:b/>
          <w:bCs/>
          <w:sz w:val="24"/>
          <w:szCs w:val="24"/>
        </w:rPr>
      </w:pPr>
      <w:r>
        <w:rPr>
          <w:rFonts w:hint="eastAsia" w:cs="Times New Roman" w:asciiTheme="minorEastAsia" w:hAnsiTheme="minorEastAsia"/>
          <w:bCs/>
          <w:sz w:val="24"/>
          <w:szCs w:val="24"/>
        </w:rPr>
        <w:t>报价人的人员、设施配置应满足询价人的作业要求。</w:t>
      </w:r>
    </w:p>
    <w:tbl>
      <w:tblPr>
        <w:tblStyle w:val="19"/>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17"/>
        <w:gridCol w:w="1911"/>
        <w:gridCol w:w="167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05" w:type="dxa"/>
          </w:tcPr>
          <w:p>
            <w:pPr>
              <w:spacing w:line="360" w:lineRule="auto"/>
              <w:jc w:val="center"/>
              <w:rPr>
                <w:rFonts w:ascii="宋体" w:hAnsi="宋体" w:cs="宋体"/>
                <w:sz w:val="24"/>
                <w:szCs w:val="24"/>
              </w:rPr>
            </w:pPr>
            <w:r>
              <w:rPr>
                <w:rFonts w:hint="eastAsia" w:ascii="宋体" w:hAnsi="宋体" w:cs="宋体"/>
                <w:sz w:val="24"/>
                <w:szCs w:val="24"/>
              </w:rPr>
              <w:t>序号</w:t>
            </w:r>
          </w:p>
        </w:tc>
        <w:tc>
          <w:tcPr>
            <w:tcW w:w="2617" w:type="dxa"/>
          </w:tcPr>
          <w:p>
            <w:pPr>
              <w:spacing w:line="360" w:lineRule="auto"/>
              <w:jc w:val="center"/>
              <w:rPr>
                <w:rFonts w:ascii="宋体" w:hAnsi="宋体" w:cs="宋体"/>
                <w:sz w:val="24"/>
                <w:szCs w:val="24"/>
              </w:rPr>
            </w:pPr>
            <w:r>
              <w:rPr>
                <w:rFonts w:hint="eastAsia" w:ascii="宋体" w:hAnsi="宋体" w:cs="宋体"/>
                <w:sz w:val="24"/>
                <w:szCs w:val="24"/>
              </w:rPr>
              <w:t>装置</w:t>
            </w:r>
          </w:p>
        </w:tc>
        <w:tc>
          <w:tcPr>
            <w:tcW w:w="1911" w:type="dxa"/>
          </w:tcPr>
          <w:p>
            <w:pPr>
              <w:spacing w:line="360" w:lineRule="auto"/>
              <w:jc w:val="center"/>
              <w:rPr>
                <w:rFonts w:ascii="宋体" w:hAnsi="宋体" w:cs="宋体"/>
                <w:sz w:val="24"/>
                <w:szCs w:val="24"/>
              </w:rPr>
            </w:pPr>
            <w:r>
              <w:rPr>
                <w:rFonts w:hint="eastAsia" w:ascii="宋体" w:hAnsi="宋体" w:cs="宋体"/>
                <w:sz w:val="24"/>
                <w:szCs w:val="24"/>
              </w:rPr>
              <w:t>人员</w:t>
            </w:r>
          </w:p>
        </w:tc>
        <w:tc>
          <w:tcPr>
            <w:tcW w:w="1676" w:type="dxa"/>
          </w:tcPr>
          <w:p>
            <w:pPr>
              <w:spacing w:line="360" w:lineRule="auto"/>
              <w:jc w:val="center"/>
              <w:rPr>
                <w:rFonts w:ascii="宋体" w:hAnsi="宋体" w:cs="宋体"/>
                <w:sz w:val="24"/>
                <w:szCs w:val="24"/>
              </w:rPr>
            </w:pPr>
            <w:r>
              <w:rPr>
                <w:rFonts w:hint="eastAsia" w:ascii="宋体" w:hAnsi="宋体" w:cs="宋体"/>
                <w:sz w:val="24"/>
                <w:szCs w:val="24"/>
              </w:rPr>
              <w:t>设施配置</w:t>
            </w:r>
          </w:p>
        </w:tc>
        <w:tc>
          <w:tcPr>
            <w:tcW w:w="1911" w:type="dxa"/>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05" w:type="dxa"/>
          </w:tcPr>
          <w:p>
            <w:pPr>
              <w:spacing w:line="360" w:lineRule="auto"/>
              <w:jc w:val="center"/>
              <w:rPr>
                <w:rFonts w:ascii="宋体" w:hAnsi="宋体" w:cs="宋体"/>
                <w:sz w:val="24"/>
                <w:szCs w:val="24"/>
              </w:rPr>
            </w:pPr>
          </w:p>
        </w:tc>
        <w:tc>
          <w:tcPr>
            <w:tcW w:w="2617" w:type="dxa"/>
          </w:tcPr>
          <w:p>
            <w:pPr>
              <w:spacing w:line="360" w:lineRule="auto"/>
              <w:jc w:val="center"/>
              <w:rPr>
                <w:rFonts w:ascii="宋体" w:hAnsi="宋体" w:cs="宋体"/>
                <w:sz w:val="24"/>
                <w:szCs w:val="24"/>
              </w:rPr>
            </w:pPr>
          </w:p>
        </w:tc>
        <w:tc>
          <w:tcPr>
            <w:tcW w:w="1911" w:type="dxa"/>
          </w:tcPr>
          <w:p>
            <w:pPr>
              <w:spacing w:line="360" w:lineRule="auto"/>
              <w:jc w:val="center"/>
              <w:rPr>
                <w:rFonts w:ascii="宋体" w:hAnsi="宋体" w:cs="宋体"/>
                <w:sz w:val="24"/>
                <w:szCs w:val="24"/>
              </w:rPr>
            </w:pPr>
          </w:p>
        </w:tc>
        <w:tc>
          <w:tcPr>
            <w:tcW w:w="1676" w:type="dxa"/>
            <w:vAlign w:val="center"/>
          </w:tcPr>
          <w:p>
            <w:pPr>
              <w:spacing w:line="360" w:lineRule="auto"/>
              <w:jc w:val="center"/>
              <w:rPr>
                <w:rFonts w:ascii="宋体" w:hAnsi="宋体" w:cs="宋体"/>
                <w:sz w:val="24"/>
                <w:szCs w:val="24"/>
              </w:rPr>
            </w:pPr>
          </w:p>
        </w:tc>
        <w:tc>
          <w:tcPr>
            <w:tcW w:w="1911" w:type="dxa"/>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05" w:type="dxa"/>
          </w:tcPr>
          <w:p>
            <w:pPr>
              <w:spacing w:line="360" w:lineRule="auto"/>
              <w:jc w:val="center"/>
              <w:rPr>
                <w:rFonts w:ascii="宋体" w:hAnsi="宋体" w:cs="宋体"/>
                <w:sz w:val="24"/>
                <w:szCs w:val="24"/>
              </w:rPr>
            </w:pPr>
          </w:p>
        </w:tc>
        <w:tc>
          <w:tcPr>
            <w:tcW w:w="2617" w:type="dxa"/>
          </w:tcPr>
          <w:p>
            <w:pPr>
              <w:spacing w:line="360" w:lineRule="auto"/>
              <w:jc w:val="center"/>
              <w:rPr>
                <w:rFonts w:ascii="宋体" w:hAnsi="宋体" w:cs="宋体"/>
                <w:sz w:val="24"/>
                <w:szCs w:val="24"/>
              </w:rPr>
            </w:pPr>
          </w:p>
        </w:tc>
        <w:tc>
          <w:tcPr>
            <w:tcW w:w="1911" w:type="dxa"/>
          </w:tcPr>
          <w:p>
            <w:pPr>
              <w:spacing w:line="360" w:lineRule="auto"/>
              <w:jc w:val="center"/>
              <w:rPr>
                <w:rFonts w:ascii="宋体" w:hAnsi="宋体" w:cs="宋体"/>
                <w:sz w:val="24"/>
                <w:szCs w:val="24"/>
              </w:rPr>
            </w:pPr>
          </w:p>
        </w:tc>
        <w:tc>
          <w:tcPr>
            <w:tcW w:w="1676" w:type="dxa"/>
            <w:vAlign w:val="center"/>
          </w:tcPr>
          <w:p>
            <w:pPr>
              <w:spacing w:line="360" w:lineRule="auto"/>
              <w:jc w:val="center"/>
              <w:rPr>
                <w:rFonts w:ascii="宋体" w:hAnsi="宋体" w:cs="宋体"/>
                <w:sz w:val="24"/>
                <w:szCs w:val="24"/>
              </w:rPr>
            </w:pPr>
          </w:p>
        </w:tc>
        <w:tc>
          <w:tcPr>
            <w:tcW w:w="1911" w:type="dxa"/>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822" w:type="dxa"/>
            <w:gridSpan w:val="2"/>
          </w:tcPr>
          <w:p>
            <w:pPr>
              <w:spacing w:line="360" w:lineRule="auto"/>
              <w:jc w:val="center"/>
              <w:rPr>
                <w:rFonts w:ascii="宋体" w:hAnsi="宋体" w:cs="宋体"/>
                <w:sz w:val="24"/>
                <w:szCs w:val="24"/>
              </w:rPr>
            </w:pPr>
            <w:r>
              <w:rPr>
                <w:rFonts w:hint="eastAsia" w:ascii="宋体" w:hAnsi="宋体" w:cs="宋体"/>
                <w:sz w:val="24"/>
                <w:szCs w:val="24"/>
              </w:rPr>
              <w:t>总  计</w:t>
            </w:r>
          </w:p>
        </w:tc>
        <w:tc>
          <w:tcPr>
            <w:tcW w:w="1911" w:type="dxa"/>
          </w:tcPr>
          <w:p>
            <w:pPr>
              <w:spacing w:line="360" w:lineRule="auto"/>
              <w:jc w:val="center"/>
              <w:rPr>
                <w:rFonts w:ascii="宋体" w:hAnsi="宋体" w:cs="宋体"/>
                <w:sz w:val="24"/>
                <w:szCs w:val="24"/>
              </w:rPr>
            </w:pPr>
          </w:p>
        </w:tc>
        <w:tc>
          <w:tcPr>
            <w:tcW w:w="1676" w:type="dxa"/>
          </w:tcPr>
          <w:p>
            <w:pPr>
              <w:spacing w:line="360" w:lineRule="auto"/>
              <w:jc w:val="center"/>
              <w:rPr>
                <w:rFonts w:ascii="宋体" w:hAnsi="宋体" w:cs="宋体"/>
                <w:sz w:val="24"/>
                <w:szCs w:val="24"/>
              </w:rPr>
            </w:pPr>
          </w:p>
        </w:tc>
        <w:tc>
          <w:tcPr>
            <w:tcW w:w="1911" w:type="dxa"/>
          </w:tcPr>
          <w:p>
            <w:pPr>
              <w:spacing w:line="360" w:lineRule="auto"/>
              <w:jc w:val="center"/>
              <w:rPr>
                <w:rFonts w:ascii="宋体" w:hAnsi="宋体" w:cs="宋体"/>
                <w:sz w:val="24"/>
                <w:szCs w:val="24"/>
              </w:rPr>
            </w:pPr>
          </w:p>
        </w:tc>
      </w:tr>
    </w:tbl>
    <w:p>
      <w:pPr>
        <w:spacing w:line="360" w:lineRule="auto"/>
        <w:outlineLvl w:val="2"/>
        <w:rPr>
          <w:rFonts w:ascii="宋体" w:hAnsi="宋体"/>
          <w:b/>
          <w:bCs/>
          <w:sz w:val="24"/>
          <w:szCs w:val="24"/>
        </w:rPr>
      </w:pPr>
      <w:bookmarkStart w:id="32" w:name="_Toc832"/>
      <w:r>
        <w:rPr>
          <w:rFonts w:hint="eastAsia" w:ascii="宋体" w:hAnsi="宋体"/>
          <w:b/>
          <w:bCs/>
          <w:sz w:val="24"/>
          <w:szCs w:val="24"/>
        </w:rPr>
        <w:t>4. 其它要求</w:t>
      </w:r>
      <w:bookmarkEnd w:id="32"/>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4.1 资质要求：详见报价人须知前附表中报价人资格6</w:t>
      </w:r>
      <w:r>
        <w:rPr>
          <w:rFonts w:ascii="宋体" w:hAnsi="宋体" w:eastAsia="宋体" w:cs="宋体"/>
          <w:sz w:val="24"/>
          <w:szCs w:val="24"/>
        </w:rPr>
        <w:t>.3</w:t>
      </w:r>
      <w:r>
        <w:rPr>
          <w:rFonts w:hint="eastAsia" w:ascii="宋体" w:hAnsi="宋体" w:eastAsia="宋体" w:cs="宋体"/>
          <w:sz w:val="24"/>
          <w:szCs w:val="24"/>
        </w:rPr>
        <w:t>至</w:t>
      </w:r>
      <w:r>
        <w:rPr>
          <w:rFonts w:ascii="宋体" w:hAnsi="宋体" w:eastAsia="宋体" w:cs="宋体"/>
          <w:sz w:val="24"/>
          <w:szCs w:val="24"/>
        </w:rPr>
        <w:t>6.7</w:t>
      </w:r>
      <w:r>
        <w:rPr>
          <w:rFonts w:hint="eastAsia" w:ascii="宋体" w:hAnsi="宋体" w:eastAsia="宋体" w:cs="宋体"/>
          <w:sz w:val="24"/>
          <w:szCs w:val="24"/>
        </w:rPr>
        <w:t>条。</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4.2 报价人自行配置技术服务人员，配备所需原料、控制设备并承担其原料、维护、检修费用，产生所有费用均由业务承包商自行承担。</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4.3报价人须提供着色剂、包裹油近一年的检验报告单。</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4.4 报价人现场服务及管理人员必须遵守甲方相关安全生产管理制度，并接受甲方监督、检查、考核。若人员发生安全事故，甲方不承担任何责任。</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4.5 报价人负责工作区域的卫生清理工作。</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4.6 询价人的安全方面的管理规定同样适用于业务承包商人员。</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4.7 在事先通知外包业务承包商的情况下，询价人有权根据生产情况的变化要求外包业务供应商调整现场人员。</w:t>
      </w:r>
    </w:p>
    <w:p>
      <w:pPr>
        <w:kinsoku w:val="0"/>
        <w:wordWrap w:val="0"/>
        <w:overflowPunct w:val="0"/>
        <w:autoSpaceDE w:val="0"/>
        <w:autoSpaceDN w:val="0"/>
        <w:spacing w:line="360" w:lineRule="auto"/>
        <w:rPr>
          <w:rFonts w:ascii="宋体" w:hAnsi="宋体" w:eastAsia="宋体" w:cs="宋体"/>
          <w:sz w:val="24"/>
          <w:szCs w:val="24"/>
        </w:rPr>
      </w:pPr>
      <w:r>
        <w:rPr>
          <w:rFonts w:hint="eastAsia" w:ascii="宋体" w:hAnsi="宋体" w:eastAsia="宋体" w:cs="宋体"/>
          <w:sz w:val="24"/>
          <w:szCs w:val="24"/>
        </w:rPr>
        <w:t>4.8 对询价人提出的产品染色质量要求，报价方要有能力及时、全面的应对。</w:t>
      </w:r>
    </w:p>
    <w:p>
      <w:pPr>
        <w:kinsoku w:val="0"/>
        <w:wordWrap w:val="0"/>
        <w:overflowPunct w:val="0"/>
        <w:autoSpaceDE w:val="0"/>
        <w:autoSpaceDN w:val="0"/>
        <w:spacing w:line="360" w:lineRule="auto"/>
        <w:rPr>
          <w:rFonts w:asciiTheme="minorEastAsia" w:hAnsiTheme="minorEastAsia" w:cstheme="minorEastAsia"/>
          <w:kern w:val="0"/>
          <w:sz w:val="24"/>
          <w:szCs w:val="24"/>
        </w:rPr>
      </w:pPr>
      <w:r>
        <w:rPr>
          <w:rFonts w:hint="eastAsia" w:ascii="宋体" w:hAnsi="宋体" w:eastAsia="宋体" w:cs="宋体"/>
          <w:sz w:val="24"/>
          <w:szCs w:val="24"/>
        </w:rPr>
        <w:t>4.9 业务承包商必须在现场配置具有相应管理协调能力的负责人。</w:t>
      </w:r>
    </w:p>
    <w:p>
      <w:pPr>
        <w:pStyle w:val="2"/>
        <w:spacing w:line="360" w:lineRule="auto"/>
        <w:jc w:val="center"/>
        <w:rPr>
          <w:rFonts w:ascii="宋体" w:hAnsi="宋体"/>
          <w:w w:val="90"/>
          <w:szCs w:val="36"/>
        </w:rPr>
      </w:pPr>
      <w:bookmarkStart w:id="33" w:name="_Toc13028"/>
    </w:p>
    <w:p>
      <w:pPr>
        <w:rPr>
          <w:rFonts w:ascii="宋体" w:hAnsi="宋体"/>
          <w:w w:val="90"/>
          <w:szCs w:val="36"/>
        </w:rPr>
      </w:pPr>
    </w:p>
    <w:p>
      <w:pPr>
        <w:rPr>
          <w:rFonts w:ascii="宋体" w:hAnsi="宋体"/>
          <w:w w:val="90"/>
          <w:szCs w:val="36"/>
        </w:rPr>
      </w:pPr>
    </w:p>
    <w:p>
      <w:pPr>
        <w:rPr>
          <w:rFonts w:ascii="宋体" w:hAnsi="宋体"/>
          <w:w w:val="90"/>
          <w:szCs w:val="36"/>
        </w:rPr>
      </w:pPr>
    </w:p>
    <w:p>
      <w:pPr>
        <w:rPr>
          <w:rFonts w:ascii="宋体" w:hAnsi="宋体"/>
          <w:w w:val="90"/>
          <w:szCs w:val="36"/>
        </w:rPr>
      </w:pPr>
    </w:p>
    <w:p>
      <w:pPr>
        <w:rPr>
          <w:rFonts w:ascii="宋体" w:hAnsi="宋体"/>
          <w:w w:val="90"/>
          <w:szCs w:val="36"/>
        </w:rPr>
      </w:pPr>
    </w:p>
    <w:p>
      <w:pPr>
        <w:rPr>
          <w:rFonts w:ascii="宋体" w:hAnsi="宋体"/>
          <w:w w:val="90"/>
          <w:szCs w:val="36"/>
        </w:rPr>
      </w:pPr>
    </w:p>
    <w:p>
      <w:pPr>
        <w:rPr>
          <w:rFonts w:ascii="宋体" w:hAnsi="宋体"/>
          <w:w w:val="90"/>
          <w:szCs w:val="36"/>
        </w:rPr>
      </w:pPr>
    </w:p>
    <w:p>
      <w:pPr>
        <w:pStyle w:val="2"/>
        <w:spacing w:line="360" w:lineRule="auto"/>
        <w:jc w:val="center"/>
        <w:rPr>
          <w:rFonts w:ascii="宋体" w:hAnsi="宋体"/>
          <w:w w:val="90"/>
          <w:szCs w:val="36"/>
        </w:rPr>
      </w:pPr>
    </w:p>
    <w:p>
      <w:pPr>
        <w:rPr>
          <w:rFonts w:ascii="宋体" w:hAnsi="宋体"/>
          <w:w w:val="90"/>
          <w:szCs w:val="36"/>
        </w:rPr>
      </w:pPr>
    </w:p>
    <w:p>
      <w:pPr>
        <w:rPr>
          <w:rFonts w:ascii="宋体" w:hAnsi="宋体"/>
          <w:w w:val="90"/>
          <w:szCs w:val="36"/>
        </w:rPr>
      </w:pPr>
    </w:p>
    <w:p>
      <w:pPr>
        <w:rPr>
          <w:rFonts w:ascii="宋体" w:hAnsi="宋体"/>
          <w:w w:val="90"/>
          <w:szCs w:val="36"/>
        </w:rPr>
      </w:pPr>
    </w:p>
    <w:p>
      <w:pPr>
        <w:pStyle w:val="2"/>
        <w:spacing w:line="360" w:lineRule="auto"/>
        <w:jc w:val="center"/>
        <w:rPr>
          <w:rFonts w:ascii="宋体" w:hAnsi="宋体"/>
          <w:w w:val="90"/>
          <w:szCs w:val="36"/>
        </w:rPr>
      </w:pPr>
      <w:r>
        <w:rPr>
          <w:rFonts w:hint="eastAsia" w:ascii="宋体" w:hAnsi="宋体"/>
          <w:w w:val="90"/>
          <w:szCs w:val="36"/>
        </w:rPr>
        <w:t>第五章  报价文件格式</w:t>
      </w:r>
      <w:bookmarkEnd w:id="33"/>
    </w:p>
    <w:p>
      <w:pPr>
        <w:pStyle w:val="3"/>
      </w:pPr>
      <w:bookmarkStart w:id="34" w:name="_Toc27934"/>
      <w:r>
        <w:rPr>
          <w:rFonts w:hint="eastAsia"/>
        </w:rPr>
        <w:t>格式1（封面）</w:t>
      </w:r>
      <w:bookmarkEnd w:id="34"/>
    </w:p>
    <w:p/>
    <w:p>
      <w:pPr>
        <w:autoSpaceDE w:val="0"/>
        <w:spacing w:before="100" w:beforeAutospacing="1" w:line="360" w:lineRule="auto"/>
        <w:jc w:val="center"/>
        <w:textAlignment w:val="top"/>
        <w:rPr>
          <w:rFonts w:ascii="宋体" w:hAnsi="宋体"/>
          <w:b/>
          <w:kern w:val="0"/>
          <w:sz w:val="44"/>
          <w:szCs w:val="44"/>
        </w:rPr>
      </w:pPr>
      <w:r>
        <w:rPr>
          <w:rFonts w:hint="eastAsia" w:ascii="宋体" w:hAnsi="宋体"/>
          <w:b/>
          <w:kern w:val="0"/>
          <w:sz w:val="44"/>
          <w:szCs w:val="44"/>
        </w:rPr>
        <w:t>内蒙古大地云天化工有限公司</w:t>
      </w:r>
    </w:p>
    <w:p>
      <w:pPr>
        <w:autoSpaceDE w:val="0"/>
        <w:spacing w:before="100" w:beforeAutospacing="1" w:line="360" w:lineRule="auto"/>
        <w:jc w:val="center"/>
        <w:textAlignment w:val="top"/>
        <w:rPr>
          <w:rFonts w:ascii="宋体" w:hAnsi="宋体"/>
          <w:b/>
          <w:kern w:val="0"/>
          <w:sz w:val="28"/>
          <w:szCs w:val="28"/>
        </w:rPr>
      </w:pPr>
    </w:p>
    <w:p>
      <w:pPr>
        <w:kinsoku w:val="0"/>
        <w:wordWrap w:val="0"/>
        <w:overflowPunct w:val="0"/>
        <w:autoSpaceDE w:val="0"/>
        <w:autoSpaceDN w:val="0"/>
        <w:spacing w:line="360" w:lineRule="auto"/>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化肥着色、包裹技术服务承包项目</w:t>
      </w:r>
    </w:p>
    <w:p>
      <w:pPr>
        <w:tabs>
          <w:tab w:val="left" w:pos="500"/>
        </w:tabs>
        <w:snapToGrid w:val="0"/>
        <w:spacing w:line="360" w:lineRule="auto"/>
        <w:jc w:val="center"/>
        <w:rPr>
          <w:b/>
          <w:sz w:val="48"/>
          <w:szCs w:val="48"/>
        </w:rPr>
      </w:pPr>
    </w:p>
    <w:p>
      <w:pPr>
        <w:spacing w:line="360" w:lineRule="auto"/>
        <w:jc w:val="center"/>
        <w:rPr>
          <w:b/>
        </w:rPr>
      </w:pPr>
      <w:r>
        <w:rPr>
          <w:rFonts w:hint="eastAsia"/>
          <w:b/>
          <w:sz w:val="84"/>
          <w:szCs w:val="84"/>
        </w:rPr>
        <w:t>报 价 文 件</w:t>
      </w:r>
    </w:p>
    <w:p>
      <w:pPr>
        <w:spacing w:line="360" w:lineRule="auto"/>
        <w:jc w:val="center"/>
        <w:rPr>
          <w:b/>
          <w:sz w:val="32"/>
          <w:szCs w:val="32"/>
        </w:rPr>
      </w:pPr>
      <w:r>
        <w:rPr>
          <w:rFonts w:hint="eastAsia"/>
          <w:b/>
          <w:sz w:val="32"/>
          <w:szCs w:val="32"/>
        </w:rPr>
        <w:t xml:space="preserve"> </w:t>
      </w:r>
    </w:p>
    <w:p>
      <w:pPr>
        <w:spacing w:line="360" w:lineRule="auto"/>
        <w:ind w:firstLine="1205" w:firstLineChars="400"/>
        <w:rPr>
          <w:b/>
          <w:sz w:val="30"/>
          <w:u w:val="single"/>
        </w:rPr>
      </w:pPr>
      <w:r>
        <w:rPr>
          <w:rFonts w:hint="eastAsia" w:ascii="宋体" w:hAnsi="宋体"/>
          <w:b/>
          <w:sz w:val="30"/>
        </w:rPr>
        <w:t>询价编号：</w:t>
      </w:r>
      <w:r>
        <w:rPr>
          <w:rFonts w:hint="eastAsia" w:ascii="宋体" w:hAnsi="宋体"/>
          <w:b/>
          <w:bCs/>
          <w:sz w:val="36"/>
          <w:szCs w:val="36"/>
        </w:rPr>
        <w:t xml:space="preserve"> DDYT-06-2112-010</w:t>
      </w:r>
    </w:p>
    <w:p>
      <w:pPr>
        <w:spacing w:line="720" w:lineRule="auto"/>
        <w:ind w:firstLine="180" w:firstLineChars="56"/>
        <w:jc w:val="center"/>
        <w:rPr>
          <w:rFonts w:ascii="宋体" w:hAnsi="宋体"/>
          <w:b/>
          <w:sz w:val="32"/>
        </w:rPr>
      </w:pPr>
      <w:r>
        <w:rPr>
          <w:rFonts w:hint="eastAsia" w:ascii="宋体" w:hAnsi="宋体"/>
          <w:b/>
          <w:sz w:val="32"/>
        </w:rPr>
        <w:t>报 价 人：</w:t>
      </w:r>
      <w:r>
        <w:rPr>
          <w:rFonts w:hint="eastAsia" w:ascii="宋体" w:hAnsi="宋体"/>
          <w:b/>
          <w:bCs/>
          <w:sz w:val="44"/>
          <w:szCs w:val="44"/>
          <w:u w:val="single"/>
        </w:rPr>
        <w:t xml:space="preserve">               </w:t>
      </w:r>
      <w:r>
        <w:rPr>
          <w:rFonts w:hint="eastAsia" w:ascii="宋体" w:hAnsi="宋体"/>
          <w:b/>
          <w:sz w:val="32"/>
        </w:rPr>
        <w:t>（单位公章）</w:t>
      </w:r>
    </w:p>
    <w:p>
      <w:pPr>
        <w:spacing w:line="720" w:lineRule="auto"/>
        <w:ind w:firstLine="180" w:firstLineChars="56"/>
        <w:jc w:val="center"/>
        <w:rPr>
          <w:rFonts w:ascii="宋体" w:hAnsi="宋体"/>
          <w:b/>
          <w:sz w:val="32"/>
        </w:rPr>
      </w:pPr>
      <w:r>
        <w:rPr>
          <w:rFonts w:hint="eastAsia" w:ascii="宋体" w:hAnsi="宋体"/>
          <w:b/>
          <w:sz w:val="32"/>
        </w:rPr>
        <w:t>法人代表或委托代理人：</w:t>
      </w:r>
      <w:r>
        <w:rPr>
          <w:rFonts w:hint="eastAsia" w:ascii="宋体" w:hAnsi="宋体"/>
          <w:b/>
          <w:sz w:val="32"/>
          <w:u w:val="single"/>
        </w:rPr>
        <w:t xml:space="preserve">            </w:t>
      </w:r>
      <w:r>
        <w:rPr>
          <w:rFonts w:hint="eastAsia" w:ascii="宋体" w:hAnsi="宋体"/>
          <w:b/>
          <w:sz w:val="32"/>
        </w:rPr>
        <w:t>（签字）</w:t>
      </w:r>
    </w:p>
    <w:p>
      <w:pPr>
        <w:spacing w:line="360" w:lineRule="auto"/>
        <w:jc w:val="center"/>
        <w:rPr>
          <w:rFonts w:ascii="宋体" w:hAnsi="宋体"/>
          <w:b/>
          <w:sz w:val="32"/>
        </w:rPr>
      </w:pPr>
    </w:p>
    <w:p>
      <w:pPr>
        <w:spacing w:line="360" w:lineRule="auto"/>
        <w:jc w:val="center"/>
        <w:rPr>
          <w:rFonts w:ascii="宋体" w:hAnsi="宋体"/>
          <w:b/>
          <w:bCs/>
          <w:sz w:val="32"/>
          <w:szCs w:val="32"/>
        </w:rPr>
      </w:pPr>
      <w:r>
        <w:rPr>
          <w:rFonts w:hint="eastAsia" w:ascii="宋体" w:hAnsi="宋体"/>
          <w:b/>
          <w:bCs/>
          <w:sz w:val="32"/>
          <w:szCs w:val="32"/>
          <w:u w:val="single"/>
        </w:rPr>
        <w:t>2021</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pStyle w:val="3"/>
      </w:pPr>
      <w:bookmarkStart w:id="35" w:name="_Toc6764"/>
      <w:r>
        <w:rPr>
          <w:rFonts w:hint="eastAsia"/>
        </w:rPr>
        <w:t>格式2</w:t>
      </w:r>
      <w:bookmarkEnd w:id="35"/>
      <w:r>
        <w:rPr>
          <w:rFonts w:hint="eastAsia"/>
        </w:rPr>
        <w:t xml:space="preserve"> </w:t>
      </w:r>
    </w:p>
    <w:p>
      <w:pPr>
        <w:spacing w:line="360" w:lineRule="auto"/>
        <w:jc w:val="center"/>
        <w:rPr>
          <w:sz w:val="32"/>
          <w:szCs w:val="44"/>
        </w:rPr>
      </w:pPr>
      <w:r>
        <w:rPr>
          <w:rFonts w:hint="eastAsia" w:ascii="宋体" w:hAnsi="宋体"/>
          <w:sz w:val="32"/>
          <w:szCs w:val="32"/>
        </w:rPr>
        <w:t>报 价 书</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致：内蒙古大地云天化工有限公司</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根据贵方为</w:t>
      </w:r>
      <w:r>
        <w:rPr>
          <w:rFonts w:hint="eastAsia" w:ascii="宋体" w:hAnsi="宋体"/>
          <w:kern w:val="0"/>
          <w:sz w:val="24"/>
          <w:szCs w:val="24"/>
          <w:u w:val="single"/>
        </w:rPr>
        <w:t>（项目名称）</w:t>
      </w:r>
      <w:r>
        <w:rPr>
          <w:rFonts w:hint="eastAsia" w:ascii="宋体" w:hAnsi="宋体"/>
          <w:kern w:val="0"/>
          <w:sz w:val="24"/>
          <w:szCs w:val="24"/>
        </w:rPr>
        <w:t>询价采购服务的询价书（询价编号），签字代表（姓名、职务）经正式授权并代表报价人（报价人名称、地址）提交下述文件正本一份及副本_____份，包括：</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1.开标一览表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2.报价表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3.技术规格响应/偏离表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4.商务条款响应/偏离表</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5.</w:t>
      </w:r>
      <w:r>
        <w:rPr>
          <w:rFonts w:ascii="宋体" w:hAnsi="宋体"/>
          <w:kern w:val="0"/>
          <w:sz w:val="24"/>
          <w:szCs w:val="24"/>
        </w:rPr>
        <w:t>法人代表授权书</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6.按询价文件报价人须知和技术要求提供的有关文件</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7.资格证明文件</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签字代表同意并宣布如下：</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1. 所附报价价格真实有效。</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2. 报价人已详细审查全部询价文件，包括补遗文件（如有）。我们完全理解并同意放弃对这方面有不明及误解的权力。</w:t>
      </w:r>
    </w:p>
    <w:p>
      <w:pPr>
        <w:autoSpaceDE w:val="0"/>
        <w:spacing w:line="360" w:lineRule="auto"/>
        <w:ind w:firstLine="480" w:firstLineChars="200"/>
        <w:jc w:val="left"/>
        <w:textAlignment w:val="top"/>
        <w:rPr>
          <w:rFonts w:ascii="宋体" w:hAnsi="宋体"/>
          <w:kern w:val="0"/>
          <w:sz w:val="24"/>
          <w:szCs w:val="24"/>
        </w:rPr>
      </w:pPr>
      <w:r>
        <w:rPr>
          <w:rFonts w:hint="eastAsia" w:ascii="宋体" w:hAnsi="宋体"/>
          <w:kern w:val="0"/>
          <w:sz w:val="24"/>
          <w:szCs w:val="24"/>
        </w:rPr>
        <w:t>3. 报价人将按询价文件的规定履行合同责任和义务。</w:t>
      </w:r>
    </w:p>
    <w:p>
      <w:pPr>
        <w:autoSpaceDE w:val="0"/>
        <w:spacing w:line="360" w:lineRule="auto"/>
        <w:jc w:val="left"/>
        <w:textAlignment w:val="top"/>
        <w:rPr>
          <w:rFonts w:ascii="宋体" w:hAnsi="宋体"/>
          <w:kern w:val="0"/>
          <w:sz w:val="24"/>
          <w:szCs w:val="24"/>
        </w:rPr>
      </w:pP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地址_________________________传真_________</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电话_________________电子函件_______________</w:t>
      </w:r>
    </w:p>
    <w:p>
      <w:pPr>
        <w:autoSpaceDE w:val="0"/>
        <w:spacing w:line="360" w:lineRule="auto"/>
        <w:jc w:val="left"/>
        <w:textAlignment w:val="top"/>
        <w:rPr>
          <w:rFonts w:ascii="宋体" w:hAnsi="宋体"/>
          <w:kern w:val="0"/>
          <w:sz w:val="24"/>
          <w:szCs w:val="24"/>
        </w:rPr>
      </w:pP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报价人代表签字_____________________</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报价人名称_________________________</w:t>
      </w:r>
    </w:p>
    <w:p>
      <w:pPr>
        <w:autoSpaceDE w:val="0"/>
        <w:spacing w:line="360" w:lineRule="auto"/>
        <w:jc w:val="left"/>
        <w:textAlignment w:val="top"/>
        <w:rPr>
          <w:rFonts w:ascii="宋体" w:hAnsi="宋体"/>
          <w:kern w:val="0"/>
          <w:sz w:val="24"/>
          <w:szCs w:val="24"/>
        </w:rPr>
      </w:pPr>
      <w:r>
        <w:rPr>
          <w:rFonts w:hint="eastAsia" w:ascii="宋体" w:hAnsi="宋体"/>
          <w:kern w:val="0"/>
          <w:sz w:val="24"/>
          <w:szCs w:val="24"/>
        </w:rPr>
        <w:t>公章_______________________________</w:t>
      </w:r>
    </w:p>
    <w:p>
      <w:pPr>
        <w:autoSpaceDE w:val="0"/>
        <w:spacing w:line="360" w:lineRule="auto"/>
        <w:jc w:val="left"/>
        <w:textAlignment w:val="top"/>
        <w:rPr>
          <w:rFonts w:ascii="宋体" w:hAnsi="宋体"/>
          <w:kern w:val="0"/>
          <w:sz w:val="24"/>
          <w:szCs w:val="24"/>
        </w:rPr>
        <w:sectPr>
          <w:footerReference r:id="rId5" w:type="first"/>
          <w:headerReference r:id="rId3" w:type="default"/>
          <w:footerReference r:id="rId4" w:type="default"/>
          <w:pgSz w:w="11907" w:h="16840"/>
          <w:pgMar w:top="1418" w:right="1418" w:bottom="1418" w:left="1418" w:header="851" w:footer="992" w:gutter="0"/>
          <w:cols w:space="720" w:num="1"/>
          <w:docGrid w:type="lines" w:linePitch="318" w:charSpace="0"/>
        </w:sectPr>
      </w:pPr>
      <w:r>
        <w:rPr>
          <w:rFonts w:hint="eastAsia" w:ascii="宋体" w:hAnsi="宋体"/>
          <w:kern w:val="0"/>
          <w:sz w:val="24"/>
          <w:szCs w:val="24"/>
        </w:rPr>
        <w:t>日期_______________________________</w:t>
      </w:r>
      <w:bookmarkStart w:id="36" w:name="_Toc204592936"/>
      <w:bookmarkStart w:id="37" w:name="_Toc244261275"/>
    </w:p>
    <w:bookmarkEnd w:id="36"/>
    <w:bookmarkEnd w:id="37"/>
    <w:p>
      <w:pPr>
        <w:pStyle w:val="3"/>
        <w:spacing w:line="240" w:lineRule="auto"/>
      </w:pPr>
      <w:bookmarkStart w:id="38" w:name="_Toc6210"/>
      <w:r>
        <w:rPr>
          <w:rFonts w:hint="eastAsia"/>
        </w:rPr>
        <w:t>格式3</w:t>
      </w:r>
      <w:bookmarkEnd w:id="38"/>
    </w:p>
    <w:p>
      <w:pPr>
        <w:jc w:val="center"/>
        <w:rPr>
          <w:rFonts w:ascii="宋体" w:hAnsi="宋体"/>
          <w:sz w:val="32"/>
          <w:szCs w:val="32"/>
        </w:rPr>
      </w:pPr>
      <w:r>
        <w:rPr>
          <w:rFonts w:hint="eastAsia" w:ascii="宋体" w:hAnsi="宋体"/>
          <w:b/>
          <w:bCs/>
          <w:sz w:val="32"/>
          <w:szCs w:val="32"/>
        </w:rPr>
        <w:t>报价一览表</w:t>
      </w:r>
    </w:p>
    <w:tbl>
      <w:tblPr>
        <w:tblStyle w:val="19"/>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860"/>
        <w:gridCol w:w="1269"/>
        <w:gridCol w:w="1369"/>
        <w:gridCol w:w="1511"/>
        <w:gridCol w:w="86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left"/>
              <w:rPr>
                <w:rFonts w:ascii="宋体" w:hAnsi="宋体" w:eastAsia="宋体" w:cs="Times New Roman"/>
                <w:szCs w:val="21"/>
              </w:rPr>
            </w:pPr>
            <w:r>
              <w:rPr>
                <w:rFonts w:hint="eastAsia" w:ascii="宋体" w:hAnsi="宋体"/>
                <w:sz w:val="24"/>
                <w:szCs w:val="24"/>
              </w:rPr>
              <w:t xml:space="preserve">    </w:t>
            </w:r>
            <w:r>
              <w:rPr>
                <w:rFonts w:hint="eastAsia" w:ascii="宋体" w:hAnsi="宋体" w:eastAsia="宋体" w:cs="Times New Roman"/>
                <w:szCs w:val="21"/>
              </w:rPr>
              <w:t>序号</w:t>
            </w:r>
          </w:p>
        </w:tc>
        <w:tc>
          <w:tcPr>
            <w:tcW w:w="2860"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产品种类</w:t>
            </w:r>
          </w:p>
        </w:tc>
        <w:tc>
          <w:tcPr>
            <w:tcW w:w="1269" w:type="dxa"/>
          </w:tcPr>
          <w:p>
            <w:pPr>
              <w:spacing w:line="360" w:lineRule="auto"/>
              <w:jc w:val="center"/>
              <w:rPr>
                <w:rFonts w:ascii="宋体" w:hAnsi="宋体" w:eastAsia="宋体" w:cs="Times New Roman"/>
                <w:szCs w:val="21"/>
              </w:rPr>
            </w:pPr>
          </w:p>
          <w:p>
            <w:pPr>
              <w:spacing w:line="360" w:lineRule="auto"/>
              <w:jc w:val="left"/>
              <w:rPr>
                <w:rFonts w:ascii="宋体" w:hAnsi="宋体" w:eastAsia="宋体" w:cs="Times New Roman"/>
                <w:szCs w:val="21"/>
              </w:rPr>
            </w:pPr>
            <w:r>
              <w:rPr>
                <w:rFonts w:hint="eastAsia" w:ascii="宋体" w:hAnsi="宋体" w:eastAsia="宋体" w:cs="Times New Roman"/>
                <w:szCs w:val="21"/>
              </w:rPr>
              <w:t>年产量（近三年平均）</w:t>
            </w:r>
          </w:p>
          <w:p>
            <w:pPr>
              <w:spacing w:line="360" w:lineRule="auto"/>
              <w:jc w:val="center"/>
              <w:rPr>
                <w:rFonts w:ascii="宋体" w:hAnsi="宋体" w:eastAsia="宋体" w:cs="Times New Roman"/>
                <w:szCs w:val="21"/>
              </w:rPr>
            </w:pPr>
            <w:r>
              <w:rPr>
                <w:rFonts w:hint="eastAsia" w:ascii="宋体" w:hAnsi="宋体" w:eastAsia="宋体" w:cs="Times New Roman"/>
                <w:szCs w:val="21"/>
              </w:rPr>
              <w:t>（万吨）</w:t>
            </w:r>
          </w:p>
        </w:tc>
        <w:tc>
          <w:tcPr>
            <w:tcW w:w="1369"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吨合格产品</w:t>
            </w:r>
          </w:p>
          <w:p>
            <w:pPr>
              <w:spacing w:line="360" w:lineRule="auto"/>
              <w:jc w:val="center"/>
              <w:rPr>
                <w:rFonts w:ascii="宋体" w:hAnsi="宋体" w:eastAsia="宋体" w:cs="Times New Roman"/>
                <w:szCs w:val="21"/>
              </w:rPr>
            </w:pPr>
            <w:r>
              <w:rPr>
                <w:rFonts w:hint="eastAsia" w:ascii="宋体" w:hAnsi="宋体" w:eastAsia="宋体" w:cs="Times New Roman"/>
                <w:szCs w:val="21"/>
              </w:rPr>
              <w:t>单价</w:t>
            </w:r>
          </w:p>
          <w:p>
            <w:pPr>
              <w:spacing w:line="360" w:lineRule="auto"/>
              <w:jc w:val="center"/>
              <w:rPr>
                <w:rFonts w:ascii="宋体" w:hAnsi="宋体" w:eastAsia="宋体" w:cs="Times New Roman"/>
                <w:szCs w:val="21"/>
              </w:rPr>
            </w:pPr>
            <w:r>
              <w:rPr>
                <w:rFonts w:hint="eastAsia" w:ascii="宋体" w:hAnsi="宋体" w:eastAsia="宋体" w:cs="Times New Roman"/>
                <w:szCs w:val="21"/>
              </w:rPr>
              <w:t>（元/吨）</w:t>
            </w:r>
          </w:p>
        </w:tc>
        <w:tc>
          <w:tcPr>
            <w:tcW w:w="151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甲方原因导致不合格产生的返料（元/吨）</w:t>
            </w:r>
          </w:p>
        </w:tc>
        <w:tc>
          <w:tcPr>
            <w:tcW w:w="86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增值税</w:t>
            </w:r>
          </w:p>
          <w:p>
            <w:pPr>
              <w:spacing w:line="360" w:lineRule="auto"/>
              <w:jc w:val="center"/>
              <w:rPr>
                <w:rFonts w:ascii="宋体" w:hAnsi="宋体" w:eastAsia="宋体" w:cs="Times New Roman"/>
                <w:szCs w:val="21"/>
              </w:rPr>
            </w:pPr>
            <w:r>
              <w:rPr>
                <w:rFonts w:hint="eastAsia" w:ascii="宋体" w:hAnsi="宋体" w:eastAsia="宋体" w:cs="Times New Roman"/>
                <w:szCs w:val="21"/>
              </w:rPr>
              <w:t>税率</w:t>
            </w:r>
          </w:p>
        </w:tc>
        <w:tc>
          <w:tcPr>
            <w:tcW w:w="85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褐色D</w:t>
            </w:r>
            <w:r>
              <w:rPr>
                <w:rFonts w:ascii="宋体" w:hAnsi="宋体" w:eastAsia="宋体" w:cs="Times New Roman"/>
                <w:szCs w:val="21"/>
              </w:rPr>
              <w:t>AP</w:t>
            </w:r>
          </w:p>
        </w:tc>
        <w:tc>
          <w:tcPr>
            <w:tcW w:w="1269" w:type="dxa"/>
          </w:tcPr>
          <w:p>
            <w:r>
              <w:t>49.11</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2</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绿色D</w:t>
            </w:r>
            <w:r>
              <w:rPr>
                <w:rFonts w:ascii="宋体" w:hAnsi="宋体" w:eastAsia="宋体" w:cs="Times New Roman"/>
                <w:szCs w:val="21"/>
              </w:rPr>
              <w:t>AP</w:t>
            </w:r>
          </w:p>
        </w:tc>
        <w:tc>
          <w:tcPr>
            <w:tcW w:w="1269" w:type="dxa"/>
          </w:tcPr>
          <w:p>
            <w:r>
              <w:t>11.31</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3</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黄色D</w:t>
            </w:r>
            <w:r>
              <w:rPr>
                <w:rFonts w:ascii="宋体" w:hAnsi="宋体" w:eastAsia="宋体" w:cs="Times New Roman"/>
                <w:szCs w:val="21"/>
              </w:rPr>
              <w:t>AP</w:t>
            </w:r>
          </w:p>
        </w:tc>
        <w:tc>
          <w:tcPr>
            <w:tcW w:w="1269" w:type="dxa"/>
          </w:tcPr>
          <w:p>
            <w:r>
              <w:t>3.63</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4</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本色D</w:t>
            </w:r>
            <w:r>
              <w:rPr>
                <w:rFonts w:ascii="宋体" w:hAnsi="宋体" w:eastAsia="宋体" w:cs="Times New Roman"/>
                <w:szCs w:val="21"/>
              </w:rPr>
              <w:t>AP</w:t>
            </w:r>
          </w:p>
        </w:tc>
        <w:tc>
          <w:tcPr>
            <w:tcW w:w="1269" w:type="dxa"/>
          </w:tcPr>
          <w:p>
            <w:r>
              <w:t>1.55</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ascii="宋体" w:hAnsi="宋体" w:eastAsia="宋体" w:cs="Times New Roman"/>
                <w:szCs w:val="21"/>
              </w:rPr>
              <w:t>5</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褐色G</w:t>
            </w:r>
            <w:r>
              <w:rPr>
                <w:rFonts w:ascii="宋体" w:hAnsi="宋体" w:eastAsia="宋体" w:cs="Times New Roman"/>
                <w:szCs w:val="21"/>
              </w:rPr>
              <w:t>MAP</w:t>
            </w:r>
          </w:p>
        </w:tc>
        <w:tc>
          <w:tcPr>
            <w:tcW w:w="1269" w:type="dxa"/>
          </w:tcPr>
          <w:p>
            <w:r>
              <w:t>6.45</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6</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本色G</w:t>
            </w:r>
            <w:r>
              <w:rPr>
                <w:rFonts w:ascii="宋体" w:hAnsi="宋体" w:eastAsia="宋体" w:cs="Times New Roman"/>
                <w:szCs w:val="21"/>
              </w:rPr>
              <w:t>MAP</w:t>
            </w:r>
          </w:p>
        </w:tc>
        <w:tc>
          <w:tcPr>
            <w:tcW w:w="1269" w:type="dxa"/>
          </w:tcPr>
          <w:p>
            <w:r>
              <w:t>1.08</w:t>
            </w:r>
          </w:p>
        </w:tc>
        <w:tc>
          <w:tcPr>
            <w:tcW w:w="1369" w:type="dxa"/>
            <w:vAlign w:val="center"/>
          </w:tcPr>
          <w:p>
            <w:pPr>
              <w:spacing w:line="360" w:lineRule="auto"/>
              <w:jc w:val="center"/>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center"/>
              <w:rPr>
                <w:rFonts w:ascii="宋体" w:hAnsi="宋体" w:eastAsia="宋体" w:cs="Times New Roman"/>
                <w:szCs w:val="21"/>
              </w:rPr>
            </w:pPr>
          </w:p>
        </w:tc>
        <w:tc>
          <w:tcPr>
            <w:tcW w:w="851"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ascii="宋体" w:hAnsi="宋体" w:eastAsia="宋体" w:cs="Times New Roman"/>
                <w:szCs w:val="21"/>
              </w:rPr>
              <w:t>7</w:t>
            </w:r>
          </w:p>
        </w:tc>
        <w:tc>
          <w:tcPr>
            <w:tcW w:w="2860"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57</w:t>
            </w:r>
            <w:r>
              <w:rPr>
                <w:rFonts w:hint="eastAsia" w:ascii="宋体" w:hAnsi="宋体" w:eastAsia="宋体" w:cs="Times New Roman"/>
                <w:szCs w:val="21"/>
              </w:rPr>
              <w:t>%</w:t>
            </w:r>
            <w:r>
              <w:rPr>
                <w:rFonts w:ascii="宋体" w:hAnsi="宋体" w:eastAsia="宋体" w:cs="Times New Roman"/>
                <w:szCs w:val="21"/>
              </w:rPr>
              <w:t>DAP</w:t>
            </w:r>
            <w:r>
              <w:rPr>
                <w:rFonts w:hint="eastAsia" w:ascii="宋体" w:hAnsi="宋体" w:eastAsia="宋体" w:cs="Times New Roman"/>
                <w:szCs w:val="21"/>
              </w:rPr>
              <w:t>解磷宝褐色</w:t>
            </w:r>
          </w:p>
          <w:p>
            <w:pPr>
              <w:spacing w:line="360" w:lineRule="auto"/>
              <w:jc w:val="left"/>
              <w:rPr>
                <w:rFonts w:ascii="宋体" w:hAnsi="宋体" w:eastAsia="宋体" w:cs="Times New Roman"/>
                <w:szCs w:val="21"/>
              </w:rPr>
            </w:pPr>
            <w:r>
              <w:rPr>
                <w:rFonts w:ascii="宋体" w:hAnsi="宋体" w:eastAsia="宋体" w:cs="Times New Roman"/>
                <w:szCs w:val="21"/>
              </w:rPr>
              <w:t>53</w:t>
            </w:r>
            <w:r>
              <w:rPr>
                <w:rFonts w:hint="eastAsia" w:ascii="宋体" w:hAnsi="宋体" w:eastAsia="宋体" w:cs="Times New Roman"/>
                <w:szCs w:val="21"/>
              </w:rPr>
              <w:t>%</w:t>
            </w:r>
            <w:r>
              <w:rPr>
                <w:rFonts w:ascii="宋体" w:hAnsi="宋体" w:eastAsia="宋体" w:cs="Times New Roman"/>
                <w:szCs w:val="21"/>
              </w:rPr>
              <w:t>DAP(14-39)</w:t>
            </w:r>
            <w:r>
              <w:rPr>
                <w:rFonts w:hint="eastAsia" w:ascii="宋体" w:hAnsi="宋体" w:eastAsia="宋体" w:cs="Times New Roman"/>
                <w:szCs w:val="21"/>
              </w:rPr>
              <w:t xml:space="preserve"> 麟聚力褐色</w:t>
            </w:r>
            <w:r>
              <w:rPr>
                <w:rFonts w:ascii="宋体" w:hAnsi="宋体" w:eastAsia="宋体" w:cs="Times New Roman"/>
                <w:szCs w:val="21"/>
              </w:rPr>
              <w:t>60</w:t>
            </w:r>
            <w:r>
              <w:rPr>
                <w:rFonts w:hint="eastAsia" w:ascii="宋体" w:hAnsi="宋体" w:eastAsia="宋体" w:cs="Times New Roman"/>
                <w:szCs w:val="21"/>
              </w:rPr>
              <w:t>%</w:t>
            </w:r>
            <w:r>
              <w:rPr>
                <w:rFonts w:ascii="宋体" w:hAnsi="宋体" w:eastAsia="宋体" w:cs="Times New Roman"/>
                <w:szCs w:val="21"/>
              </w:rPr>
              <w:t>DAP(16</w:t>
            </w:r>
            <w:r>
              <w:rPr>
                <w:rFonts w:hint="eastAsia" w:ascii="宋体" w:hAnsi="宋体" w:eastAsia="宋体" w:cs="Times New Roman"/>
                <w:szCs w:val="21"/>
              </w:rPr>
              <w:t>-</w:t>
            </w:r>
            <w:r>
              <w:rPr>
                <w:rFonts w:ascii="宋体" w:hAnsi="宋体" w:eastAsia="宋体" w:cs="Times New Roman"/>
                <w:szCs w:val="21"/>
              </w:rPr>
              <w:t>44)</w:t>
            </w:r>
            <w:r>
              <w:rPr>
                <w:rFonts w:hint="eastAsia" w:ascii="宋体" w:hAnsi="宋体" w:eastAsia="宋体" w:cs="Times New Roman"/>
                <w:szCs w:val="21"/>
              </w:rPr>
              <w:t>麟聚力褐色</w:t>
            </w:r>
          </w:p>
        </w:tc>
        <w:tc>
          <w:tcPr>
            <w:tcW w:w="1269" w:type="dxa"/>
          </w:tcPr>
          <w:p>
            <w:r>
              <w:t>0.86</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0" w:type="auto"/>
            <w:vAlign w:val="center"/>
          </w:tcPr>
          <w:p>
            <w:pPr>
              <w:spacing w:line="360" w:lineRule="auto"/>
              <w:jc w:val="center"/>
              <w:rPr>
                <w:rFonts w:ascii="宋体" w:hAnsi="宋体" w:eastAsia="宋体" w:cs="Times New Roman"/>
                <w:szCs w:val="21"/>
              </w:rPr>
            </w:pPr>
            <w:r>
              <w:rPr>
                <w:rFonts w:ascii="宋体" w:hAnsi="宋体" w:eastAsia="宋体" w:cs="Times New Roman"/>
                <w:szCs w:val="21"/>
              </w:rPr>
              <w:t>8</w:t>
            </w:r>
          </w:p>
        </w:tc>
        <w:tc>
          <w:tcPr>
            <w:tcW w:w="2860"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NPK</w:t>
            </w:r>
            <w:r>
              <w:rPr>
                <w:rFonts w:hint="eastAsia" w:ascii="宋体" w:hAnsi="宋体" w:eastAsia="宋体" w:cs="Times New Roman"/>
                <w:szCs w:val="21"/>
              </w:rPr>
              <w:t>（2</w:t>
            </w:r>
            <w:r>
              <w:rPr>
                <w:rFonts w:ascii="宋体" w:hAnsi="宋体" w:eastAsia="宋体" w:cs="Times New Roman"/>
                <w:szCs w:val="21"/>
              </w:rPr>
              <w:t>0-20</w:t>
            </w:r>
            <w:r>
              <w:rPr>
                <w:rFonts w:hint="eastAsia" w:ascii="宋体" w:hAnsi="宋体" w:eastAsia="宋体" w:cs="Times New Roman"/>
                <w:szCs w:val="21"/>
              </w:rPr>
              <w:t>、1</w:t>
            </w:r>
            <w:r>
              <w:rPr>
                <w:rFonts w:ascii="宋体" w:hAnsi="宋体" w:eastAsia="宋体" w:cs="Times New Roman"/>
                <w:szCs w:val="21"/>
              </w:rPr>
              <w:t>6</w:t>
            </w:r>
            <w:r>
              <w:rPr>
                <w:rFonts w:hint="eastAsia" w:ascii="宋体" w:hAnsi="宋体" w:eastAsia="宋体" w:cs="Times New Roman"/>
                <w:szCs w:val="21"/>
              </w:rPr>
              <w:t>-</w:t>
            </w:r>
            <w:r>
              <w:rPr>
                <w:rFonts w:ascii="宋体" w:hAnsi="宋体" w:eastAsia="宋体" w:cs="Times New Roman"/>
                <w:szCs w:val="21"/>
              </w:rPr>
              <w:t>20</w:t>
            </w:r>
            <w:r>
              <w:rPr>
                <w:rFonts w:hint="eastAsia" w:ascii="宋体" w:hAnsi="宋体" w:eastAsia="宋体" w:cs="Times New Roman"/>
                <w:szCs w:val="21"/>
              </w:rPr>
              <w:t>）褐色</w:t>
            </w:r>
          </w:p>
        </w:tc>
        <w:tc>
          <w:tcPr>
            <w:tcW w:w="1269" w:type="dxa"/>
          </w:tcPr>
          <w:p>
            <w:r>
              <w:t>2.88</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9</w:t>
            </w:r>
          </w:p>
        </w:tc>
        <w:tc>
          <w:tcPr>
            <w:tcW w:w="2860"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NPK</w:t>
            </w:r>
            <w:r>
              <w:rPr>
                <w:rFonts w:hint="eastAsia" w:ascii="宋体" w:hAnsi="宋体" w:eastAsia="宋体" w:cs="Times New Roman"/>
                <w:szCs w:val="21"/>
              </w:rPr>
              <w:t>（2</w:t>
            </w:r>
            <w:r>
              <w:rPr>
                <w:rFonts w:ascii="宋体" w:hAnsi="宋体" w:eastAsia="宋体" w:cs="Times New Roman"/>
                <w:szCs w:val="21"/>
              </w:rPr>
              <w:t>0-20</w:t>
            </w:r>
            <w:r>
              <w:rPr>
                <w:rFonts w:hint="eastAsia" w:ascii="宋体" w:hAnsi="宋体" w:eastAsia="宋体" w:cs="Times New Roman"/>
                <w:szCs w:val="21"/>
              </w:rPr>
              <w:t>、1</w:t>
            </w:r>
            <w:r>
              <w:rPr>
                <w:rFonts w:ascii="宋体" w:hAnsi="宋体" w:eastAsia="宋体" w:cs="Times New Roman"/>
                <w:szCs w:val="21"/>
              </w:rPr>
              <w:t>6</w:t>
            </w:r>
            <w:r>
              <w:rPr>
                <w:rFonts w:hint="eastAsia" w:ascii="宋体" w:hAnsi="宋体" w:eastAsia="宋体" w:cs="Times New Roman"/>
                <w:szCs w:val="21"/>
              </w:rPr>
              <w:t>-</w:t>
            </w:r>
            <w:r>
              <w:rPr>
                <w:rFonts w:ascii="宋体" w:hAnsi="宋体" w:eastAsia="宋体" w:cs="Times New Roman"/>
                <w:szCs w:val="21"/>
              </w:rPr>
              <w:t>20</w:t>
            </w:r>
            <w:r>
              <w:rPr>
                <w:rFonts w:hint="eastAsia" w:ascii="宋体" w:hAnsi="宋体" w:eastAsia="宋体" w:cs="Times New Roman"/>
                <w:szCs w:val="21"/>
              </w:rPr>
              <w:t>）内外染+黑色扑粉</w:t>
            </w:r>
          </w:p>
        </w:tc>
        <w:tc>
          <w:tcPr>
            <w:tcW w:w="1269" w:type="dxa"/>
          </w:tcPr>
          <w:p>
            <w:r>
              <w:t>2.55</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eastAsia="宋体" w:cs="Times New Roman"/>
                <w:szCs w:val="21"/>
              </w:rPr>
            </w:pPr>
            <w:r>
              <w:rPr>
                <w:rFonts w:ascii="宋体" w:hAnsi="宋体" w:eastAsia="宋体" w:cs="Times New Roman"/>
                <w:szCs w:val="21"/>
              </w:rPr>
              <w:t>10</w:t>
            </w:r>
          </w:p>
        </w:tc>
        <w:tc>
          <w:tcPr>
            <w:tcW w:w="2860"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NPK</w:t>
            </w:r>
            <w:r>
              <w:rPr>
                <w:rFonts w:hint="eastAsia" w:ascii="宋体" w:hAnsi="宋体" w:eastAsia="宋体" w:cs="Times New Roman"/>
                <w:szCs w:val="21"/>
              </w:rPr>
              <w:t>（1</w:t>
            </w:r>
            <w:r>
              <w:rPr>
                <w:rFonts w:ascii="宋体" w:hAnsi="宋体" w:eastAsia="宋体" w:cs="Times New Roman"/>
                <w:szCs w:val="21"/>
              </w:rPr>
              <w:t>7</w:t>
            </w:r>
            <w:r>
              <w:rPr>
                <w:rFonts w:hint="eastAsia" w:ascii="宋体" w:hAnsi="宋体" w:eastAsia="宋体" w:cs="Times New Roman"/>
                <w:szCs w:val="21"/>
              </w:rPr>
              <w:t>-</w:t>
            </w:r>
            <w:r>
              <w:rPr>
                <w:rFonts w:ascii="宋体" w:hAnsi="宋体" w:eastAsia="宋体" w:cs="Times New Roman"/>
                <w:szCs w:val="21"/>
              </w:rPr>
              <w:t>20</w:t>
            </w:r>
            <w:r>
              <w:rPr>
                <w:rFonts w:hint="eastAsia" w:ascii="宋体" w:hAnsi="宋体" w:eastAsia="宋体" w:cs="Times New Roman"/>
                <w:szCs w:val="21"/>
              </w:rPr>
              <w:t>-</w:t>
            </w:r>
            <w:r>
              <w:rPr>
                <w:rFonts w:ascii="宋体" w:hAnsi="宋体" w:eastAsia="宋体" w:cs="Times New Roman"/>
                <w:szCs w:val="21"/>
              </w:rPr>
              <w:t>5</w:t>
            </w:r>
            <w:r>
              <w:rPr>
                <w:rFonts w:hint="eastAsia" w:ascii="宋体" w:hAnsi="宋体" w:eastAsia="宋体" w:cs="Times New Roman"/>
                <w:szCs w:val="21"/>
              </w:rPr>
              <w:t>）/</w:t>
            </w:r>
            <w:r>
              <w:rPr>
                <w:rFonts w:ascii="宋体" w:hAnsi="宋体" w:eastAsia="宋体" w:cs="Times New Roman"/>
                <w:szCs w:val="21"/>
              </w:rPr>
              <w:t>(</w:t>
            </w:r>
            <w:r>
              <w:rPr>
                <w:rFonts w:hint="eastAsia"/>
              </w:rPr>
              <w:t xml:space="preserve"> </w:t>
            </w:r>
            <w:r>
              <w:rPr>
                <w:rFonts w:hint="eastAsia" w:ascii="宋体" w:hAnsi="宋体" w:eastAsia="宋体" w:cs="Times New Roman"/>
                <w:szCs w:val="21"/>
              </w:rPr>
              <w:t>13-23-12</w:t>
            </w:r>
            <w:r>
              <w:rPr>
                <w:rFonts w:ascii="宋体" w:hAnsi="宋体" w:eastAsia="宋体" w:cs="Times New Roman"/>
                <w:szCs w:val="21"/>
              </w:rPr>
              <w:t>)</w:t>
            </w:r>
            <w:r>
              <w:rPr>
                <w:rFonts w:hint="eastAsia" w:ascii="宋体" w:hAnsi="宋体" w:eastAsia="宋体" w:cs="Times New Roman"/>
                <w:szCs w:val="21"/>
              </w:rPr>
              <w:t>黑色</w:t>
            </w:r>
          </w:p>
        </w:tc>
        <w:tc>
          <w:tcPr>
            <w:tcW w:w="1269" w:type="dxa"/>
          </w:tcPr>
          <w:p>
            <w:r>
              <w:t>0.73</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1</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绿色含钾二铵（1</w:t>
            </w:r>
            <w:r>
              <w:rPr>
                <w:rFonts w:ascii="宋体" w:hAnsi="宋体" w:eastAsia="宋体" w:cs="Times New Roman"/>
                <w:szCs w:val="21"/>
              </w:rPr>
              <w:t>5</w:t>
            </w:r>
            <w:r>
              <w:rPr>
                <w:rFonts w:hint="eastAsia" w:ascii="宋体" w:hAnsi="宋体" w:eastAsia="宋体" w:cs="Times New Roman"/>
                <w:szCs w:val="21"/>
              </w:rPr>
              <w:t>-</w:t>
            </w:r>
            <w:r>
              <w:rPr>
                <w:rFonts w:ascii="宋体" w:hAnsi="宋体" w:eastAsia="宋体" w:cs="Times New Roman"/>
                <w:szCs w:val="21"/>
              </w:rPr>
              <w:t>39</w:t>
            </w:r>
            <w:r>
              <w:rPr>
                <w:rFonts w:hint="eastAsia" w:ascii="宋体" w:hAnsi="宋体" w:eastAsia="宋体" w:cs="Times New Roman"/>
                <w:szCs w:val="21"/>
              </w:rPr>
              <w:t>-</w:t>
            </w:r>
            <w:r>
              <w:rPr>
                <w:rFonts w:ascii="宋体" w:hAnsi="宋体" w:eastAsia="宋体" w:cs="Times New Roman"/>
                <w:szCs w:val="21"/>
              </w:rPr>
              <w:t>8</w:t>
            </w:r>
            <w:r>
              <w:rPr>
                <w:rFonts w:hint="eastAsia" w:ascii="宋体" w:hAnsi="宋体" w:eastAsia="宋体" w:cs="Times New Roman"/>
                <w:szCs w:val="21"/>
              </w:rPr>
              <w:t>）</w:t>
            </w:r>
          </w:p>
        </w:tc>
        <w:tc>
          <w:tcPr>
            <w:tcW w:w="1269" w:type="dxa"/>
          </w:tcPr>
          <w:p>
            <w:r>
              <w:t>1.39</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报价只含内染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0" w:type="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2</w:t>
            </w:r>
          </w:p>
        </w:tc>
        <w:tc>
          <w:tcPr>
            <w:tcW w:w="2860"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绿色N</w:t>
            </w:r>
            <w:r>
              <w:rPr>
                <w:rFonts w:ascii="宋体" w:hAnsi="宋体" w:eastAsia="宋体" w:cs="Times New Roman"/>
                <w:szCs w:val="21"/>
              </w:rPr>
              <w:t>PK</w:t>
            </w:r>
            <w:r>
              <w:rPr>
                <w:rFonts w:hint="eastAsia" w:ascii="宋体" w:hAnsi="宋体" w:eastAsia="宋体" w:cs="Times New Roman"/>
                <w:szCs w:val="21"/>
              </w:rPr>
              <w:t>（1</w:t>
            </w:r>
            <w:r>
              <w:rPr>
                <w:rFonts w:ascii="宋体" w:hAnsi="宋体" w:eastAsia="宋体" w:cs="Times New Roman"/>
                <w:szCs w:val="21"/>
              </w:rPr>
              <w:t>8</w:t>
            </w:r>
            <w:r>
              <w:rPr>
                <w:rFonts w:hint="eastAsia" w:ascii="宋体" w:hAnsi="宋体" w:eastAsia="宋体" w:cs="Times New Roman"/>
                <w:szCs w:val="21"/>
              </w:rPr>
              <w:t>-</w:t>
            </w:r>
            <w:r>
              <w:rPr>
                <w:rFonts w:ascii="宋体" w:hAnsi="宋体" w:eastAsia="宋体" w:cs="Times New Roman"/>
                <w:szCs w:val="21"/>
              </w:rPr>
              <w:t>26</w:t>
            </w:r>
            <w:r>
              <w:rPr>
                <w:rFonts w:hint="eastAsia" w:ascii="宋体" w:hAnsi="宋体" w:eastAsia="宋体" w:cs="Times New Roman"/>
                <w:szCs w:val="21"/>
              </w:rPr>
              <w:t>-</w:t>
            </w:r>
            <w:r>
              <w:rPr>
                <w:rFonts w:ascii="宋体" w:hAnsi="宋体" w:eastAsia="宋体" w:cs="Times New Roman"/>
                <w:szCs w:val="21"/>
              </w:rPr>
              <w:t>6</w:t>
            </w:r>
            <w:r>
              <w:rPr>
                <w:rFonts w:hint="eastAsia" w:ascii="宋体" w:hAnsi="宋体" w:eastAsia="宋体" w:cs="Times New Roman"/>
                <w:szCs w:val="21"/>
              </w:rPr>
              <w:t>）</w:t>
            </w:r>
          </w:p>
          <w:p>
            <w:pPr>
              <w:spacing w:line="360" w:lineRule="auto"/>
              <w:jc w:val="left"/>
              <w:rPr>
                <w:rFonts w:ascii="宋体" w:hAnsi="宋体" w:eastAsia="宋体" w:cs="Times New Roman"/>
                <w:szCs w:val="21"/>
              </w:rPr>
            </w:pPr>
          </w:p>
        </w:tc>
        <w:tc>
          <w:tcPr>
            <w:tcW w:w="1269" w:type="dxa"/>
          </w:tcPr>
          <w:p>
            <w:r>
              <w:t>0.18</w:t>
            </w:r>
          </w:p>
        </w:tc>
        <w:tc>
          <w:tcPr>
            <w:tcW w:w="1369" w:type="dxa"/>
            <w:vAlign w:val="center"/>
          </w:tcPr>
          <w:p>
            <w:pPr>
              <w:spacing w:line="360" w:lineRule="auto"/>
              <w:jc w:val="left"/>
              <w:rPr>
                <w:rFonts w:ascii="宋体" w:hAnsi="宋体" w:eastAsia="宋体" w:cs="Times New Roman"/>
                <w:szCs w:val="21"/>
              </w:rPr>
            </w:pPr>
          </w:p>
        </w:tc>
        <w:tc>
          <w:tcPr>
            <w:tcW w:w="1511" w:type="dxa"/>
            <w:vAlign w:val="center"/>
          </w:tcPr>
          <w:p>
            <w:pPr>
              <w:spacing w:line="360" w:lineRule="auto"/>
              <w:jc w:val="center"/>
              <w:rPr>
                <w:rFonts w:ascii="宋体" w:hAnsi="宋体" w:eastAsia="宋体" w:cs="Times New Roman"/>
                <w:szCs w:val="21"/>
              </w:rPr>
            </w:pPr>
          </w:p>
        </w:tc>
        <w:tc>
          <w:tcPr>
            <w:tcW w:w="861" w:type="dxa"/>
            <w:vAlign w:val="center"/>
          </w:tcPr>
          <w:p>
            <w:pPr>
              <w:spacing w:line="360" w:lineRule="auto"/>
              <w:jc w:val="left"/>
              <w:rPr>
                <w:rFonts w:ascii="宋体" w:hAnsi="宋体" w:eastAsia="宋体" w:cs="Times New Roman"/>
                <w:szCs w:val="21"/>
              </w:rPr>
            </w:pPr>
          </w:p>
        </w:tc>
        <w:tc>
          <w:tcPr>
            <w:tcW w:w="851"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报价只含内染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71" w:type="dxa"/>
            <w:gridSpan w:val="7"/>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其他说明事项：</w:t>
            </w:r>
          </w:p>
          <w:p>
            <w:pPr>
              <w:spacing w:line="360" w:lineRule="auto"/>
              <w:jc w:val="left"/>
              <w:rPr>
                <w:rFonts w:ascii="宋体" w:hAnsi="宋体" w:eastAsia="宋体" w:cs="Times New Roman"/>
                <w:szCs w:val="21"/>
              </w:rPr>
            </w:pPr>
          </w:p>
        </w:tc>
      </w:tr>
    </w:tbl>
    <w:p>
      <w:pPr>
        <w:spacing w:line="400" w:lineRule="exact"/>
        <w:ind w:right="105"/>
        <w:jc w:val="left"/>
        <w:rPr>
          <w:rFonts w:ascii="宋体"/>
          <w:b/>
          <w:shd w:val="pct10" w:color="auto" w:fill="FFFFFF"/>
        </w:rPr>
      </w:pPr>
      <w:r>
        <w:rPr>
          <w:rFonts w:hint="eastAsia" w:ascii="宋体"/>
          <w:b/>
          <w:shd w:val="pct10" w:color="auto" w:fill="FFFFFF"/>
        </w:rPr>
        <w:t>注：报价参考年生产量，付款方式为承兑，承兑期为半年期。</w:t>
      </w:r>
    </w:p>
    <w:p>
      <w:pPr>
        <w:spacing w:line="400" w:lineRule="exact"/>
        <w:ind w:right="105"/>
        <w:jc w:val="left"/>
        <w:rPr>
          <w:rFonts w:ascii="宋体"/>
          <w:b/>
        </w:rPr>
      </w:pPr>
    </w:p>
    <w:p>
      <w:pPr>
        <w:ind w:left="900" w:right="105"/>
        <w:jc w:val="right"/>
        <w:rPr>
          <w:rFonts w:ascii="宋体"/>
        </w:rPr>
      </w:pPr>
      <w:r>
        <w:rPr>
          <w:rFonts w:hint="eastAsia" w:ascii="宋体"/>
        </w:rPr>
        <w:t>报价人：</w:t>
      </w:r>
      <w:r>
        <w:rPr>
          <w:rFonts w:hint="eastAsia" w:ascii="宋体"/>
          <w:u w:val="single"/>
        </w:rPr>
        <w:t xml:space="preserve">                              </w:t>
      </w:r>
      <w:r>
        <w:rPr>
          <w:rFonts w:hint="eastAsia" w:ascii="宋体"/>
        </w:rPr>
        <w:t>（盖单位公章）</w:t>
      </w:r>
    </w:p>
    <w:p>
      <w:pPr>
        <w:ind w:right="210"/>
        <w:rPr>
          <w:rFonts w:ascii="宋体"/>
        </w:rPr>
      </w:pPr>
    </w:p>
    <w:p>
      <w:pPr>
        <w:ind w:left="900" w:right="105"/>
        <w:jc w:val="right"/>
        <w:rPr>
          <w:rFonts w:ascii="宋体"/>
          <w:bCs/>
        </w:rPr>
      </w:pPr>
      <w:r>
        <w:rPr>
          <w:rFonts w:hint="eastAsia" w:ascii="宋体"/>
          <w:bCs/>
        </w:rPr>
        <w:t>报价人法定代表人或其委托代理人：</w:t>
      </w:r>
      <w:r>
        <w:rPr>
          <w:rFonts w:hint="eastAsia" w:ascii="宋体"/>
          <w:bCs/>
          <w:u w:val="single"/>
        </w:rPr>
        <w:t xml:space="preserve">            </w:t>
      </w:r>
      <w:r>
        <w:rPr>
          <w:rFonts w:hint="eastAsia" w:ascii="宋体"/>
          <w:bCs/>
        </w:rPr>
        <w:t>（签字）</w:t>
      </w:r>
    </w:p>
    <w:p>
      <w:pPr>
        <w:ind w:left="900" w:right="105"/>
        <w:jc w:val="right"/>
        <w:rPr>
          <w:rFonts w:ascii="宋体"/>
          <w:bCs/>
        </w:rPr>
      </w:pPr>
    </w:p>
    <w:p>
      <w:pPr>
        <w:tabs>
          <w:tab w:val="right" w:pos="8384"/>
        </w:tabs>
        <w:ind w:right="225"/>
        <w:rPr>
          <w:rFonts w:ascii="宋体"/>
        </w:rPr>
      </w:pPr>
    </w:p>
    <w:p>
      <w:pPr>
        <w:tabs>
          <w:tab w:val="right" w:pos="8384"/>
        </w:tabs>
        <w:ind w:left="900" w:right="225"/>
        <w:jc w:val="right"/>
        <w:rPr>
          <w:rFonts w:ascii="宋体"/>
        </w:rPr>
      </w:pPr>
      <w:r>
        <w:rPr>
          <w:rFonts w:hint="eastAsia" w:ascii="宋体"/>
        </w:rPr>
        <w:t>年    月    日</w:t>
      </w:r>
    </w:p>
    <w:p>
      <w:pPr>
        <w:pStyle w:val="5"/>
        <w:spacing w:line="240" w:lineRule="auto"/>
        <w:sectPr>
          <w:footerReference r:id="rId6" w:type="default"/>
          <w:footerReference r:id="rId7" w:type="even"/>
          <w:pgSz w:w="11906" w:h="16838"/>
          <w:pgMar w:top="1418" w:right="1418" w:bottom="1418" w:left="1418" w:header="567" w:footer="624" w:gutter="0"/>
          <w:cols w:space="720" w:num="1"/>
          <w:titlePg/>
          <w:docGrid w:linePitch="312" w:charSpace="0"/>
        </w:sectPr>
      </w:pPr>
    </w:p>
    <w:p>
      <w:pPr>
        <w:pStyle w:val="3"/>
      </w:pPr>
      <w:bookmarkStart w:id="39" w:name="_Toc2564"/>
      <w:r>
        <w:rPr>
          <w:rFonts w:hint="eastAsia"/>
        </w:rPr>
        <w:t>格式</w:t>
      </w:r>
      <w:bookmarkEnd w:id="39"/>
      <w:r>
        <w:rPr>
          <w:rFonts w:hint="eastAsia"/>
        </w:rPr>
        <w:t>4</w:t>
      </w:r>
      <w:r>
        <w:t xml:space="preserve"> </w:t>
      </w:r>
    </w:p>
    <w:p>
      <w:pPr>
        <w:spacing w:line="360" w:lineRule="auto"/>
        <w:jc w:val="center"/>
        <w:rPr>
          <w:rFonts w:ascii="宋体" w:hAnsi="宋体"/>
          <w:b/>
          <w:bCs/>
          <w:sz w:val="32"/>
          <w:szCs w:val="32"/>
        </w:rPr>
      </w:pPr>
      <w:r>
        <w:rPr>
          <w:rFonts w:hint="eastAsia" w:ascii="宋体" w:hAnsi="宋体"/>
          <w:b/>
          <w:bCs/>
          <w:sz w:val="32"/>
          <w:szCs w:val="32"/>
        </w:rPr>
        <w:t>商务条款偏离表</w:t>
      </w:r>
    </w:p>
    <w:p>
      <w:pPr>
        <w:spacing w:line="360" w:lineRule="auto"/>
        <w:jc w:val="center"/>
        <w:rPr>
          <w:rFonts w:ascii="宋体" w:hAnsi="宋体"/>
          <w:b/>
          <w:bCs/>
          <w:sz w:val="24"/>
          <w:szCs w:val="24"/>
        </w:rPr>
      </w:pPr>
    </w:p>
    <w:p>
      <w:pPr>
        <w:spacing w:line="360" w:lineRule="auto"/>
        <w:rPr>
          <w:rFonts w:ascii="宋体" w:hAnsi="宋体"/>
          <w:sz w:val="24"/>
          <w:szCs w:val="24"/>
        </w:rPr>
      </w:pPr>
      <w:r>
        <w:rPr>
          <w:rFonts w:hint="eastAsia" w:ascii="宋体" w:hAnsi="宋体"/>
          <w:sz w:val="24"/>
          <w:szCs w:val="24"/>
        </w:rPr>
        <w:t>报价人名称（公章）：</w:t>
      </w:r>
      <w:r>
        <w:rPr>
          <w:rFonts w:hint="eastAsia" w:ascii="宋体" w:hAnsi="宋体"/>
          <w:sz w:val="24"/>
          <w:szCs w:val="24"/>
          <w:u w:val="single"/>
        </w:rPr>
        <w:t xml:space="preserve">                </w:t>
      </w:r>
      <w:r>
        <w:rPr>
          <w:rFonts w:hint="eastAsia" w:ascii="宋体" w:hAnsi="宋体"/>
          <w:sz w:val="24"/>
          <w:szCs w:val="24"/>
        </w:rPr>
        <w:t>询价编号：</w:t>
      </w:r>
      <w:r>
        <w:rPr>
          <w:rFonts w:hint="eastAsia" w:ascii="宋体" w:hAnsi="宋体"/>
          <w:sz w:val="24"/>
          <w:szCs w:val="24"/>
          <w:u w:val="single"/>
        </w:rPr>
        <w:t xml:space="preserve">  DDYT-06-211</w:t>
      </w:r>
      <w:r>
        <w:rPr>
          <w:rFonts w:ascii="宋体" w:hAnsi="宋体"/>
          <w:sz w:val="24"/>
          <w:szCs w:val="24"/>
          <w:u w:val="single"/>
        </w:rPr>
        <w:t>2</w:t>
      </w:r>
      <w:r>
        <w:rPr>
          <w:rFonts w:hint="eastAsia" w:ascii="宋体" w:hAnsi="宋体"/>
          <w:sz w:val="24"/>
          <w:szCs w:val="24"/>
          <w:u w:val="single"/>
        </w:rPr>
        <w:t>-0</w:t>
      </w:r>
      <w:r>
        <w:rPr>
          <w:rFonts w:ascii="宋体" w:hAnsi="宋体"/>
          <w:sz w:val="24"/>
          <w:szCs w:val="24"/>
          <w:u w:val="single"/>
        </w:rPr>
        <w:t>010</w:t>
      </w:r>
    </w:p>
    <w:tbl>
      <w:tblPr>
        <w:tblStyle w:val="18"/>
        <w:tblW w:w="90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63"/>
        <w:gridCol w:w="2497"/>
        <w:gridCol w:w="267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24" w:type="dxa"/>
            <w:vAlign w:val="center"/>
          </w:tcPr>
          <w:p>
            <w:pPr>
              <w:spacing w:line="360" w:lineRule="auto"/>
              <w:jc w:val="center"/>
              <w:rPr>
                <w:rFonts w:ascii="宋体" w:hAnsi="宋体"/>
                <w:sz w:val="24"/>
                <w:szCs w:val="24"/>
              </w:rPr>
            </w:pPr>
            <w:r>
              <w:rPr>
                <w:rFonts w:hint="eastAsia" w:ascii="宋体" w:hAnsi="宋体"/>
                <w:sz w:val="24"/>
                <w:szCs w:val="24"/>
              </w:rPr>
              <w:t>序号</w:t>
            </w:r>
          </w:p>
        </w:tc>
        <w:tc>
          <w:tcPr>
            <w:tcW w:w="1963" w:type="dxa"/>
            <w:vAlign w:val="center"/>
          </w:tcPr>
          <w:p>
            <w:pPr>
              <w:spacing w:line="360" w:lineRule="auto"/>
              <w:jc w:val="center"/>
              <w:rPr>
                <w:rFonts w:ascii="宋体" w:hAnsi="宋体"/>
                <w:sz w:val="24"/>
                <w:szCs w:val="24"/>
              </w:rPr>
            </w:pPr>
            <w:r>
              <w:rPr>
                <w:rFonts w:hint="eastAsia" w:ascii="宋体" w:hAnsi="宋体"/>
                <w:sz w:val="24"/>
                <w:szCs w:val="24"/>
              </w:rPr>
              <w:t>询价文件条目号</w:t>
            </w:r>
          </w:p>
        </w:tc>
        <w:tc>
          <w:tcPr>
            <w:tcW w:w="2497" w:type="dxa"/>
            <w:vAlign w:val="center"/>
          </w:tcPr>
          <w:p>
            <w:pPr>
              <w:spacing w:line="360" w:lineRule="auto"/>
              <w:jc w:val="center"/>
              <w:rPr>
                <w:rFonts w:ascii="宋体" w:hAnsi="宋体"/>
                <w:sz w:val="24"/>
                <w:szCs w:val="24"/>
              </w:rPr>
            </w:pPr>
            <w:r>
              <w:rPr>
                <w:rFonts w:hint="eastAsia" w:ascii="宋体" w:hAnsi="宋体"/>
                <w:sz w:val="24"/>
                <w:szCs w:val="24"/>
              </w:rPr>
              <w:t>询价文件的商务条款</w:t>
            </w:r>
          </w:p>
        </w:tc>
        <w:tc>
          <w:tcPr>
            <w:tcW w:w="2675" w:type="dxa"/>
            <w:vAlign w:val="center"/>
          </w:tcPr>
          <w:p>
            <w:pPr>
              <w:spacing w:line="360" w:lineRule="auto"/>
              <w:jc w:val="center"/>
              <w:rPr>
                <w:rFonts w:ascii="宋体" w:hAnsi="宋体"/>
                <w:sz w:val="24"/>
                <w:szCs w:val="24"/>
              </w:rPr>
            </w:pPr>
            <w:r>
              <w:rPr>
                <w:rFonts w:hint="eastAsia" w:ascii="宋体" w:hAnsi="宋体"/>
                <w:sz w:val="24"/>
                <w:szCs w:val="24"/>
              </w:rPr>
              <w:t>报价文件的商务条款</w:t>
            </w:r>
          </w:p>
        </w:tc>
        <w:tc>
          <w:tcPr>
            <w:tcW w:w="1073" w:type="dxa"/>
            <w:vAlign w:val="center"/>
          </w:tcPr>
          <w:p>
            <w:pPr>
              <w:spacing w:line="360" w:lineRule="auto"/>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4" w:type="dxa"/>
          </w:tcPr>
          <w:p>
            <w:pPr>
              <w:spacing w:line="360" w:lineRule="auto"/>
              <w:rPr>
                <w:rFonts w:ascii="宋体" w:hAnsi="宋体"/>
                <w:sz w:val="24"/>
                <w:szCs w:val="24"/>
              </w:rPr>
            </w:pPr>
          </w:p>
        </w:tc>
        <w:tc>
          <w:tcPr>
            <w:tcW w:w="1963" w:type="dxa"/>
          </w:tcPr>
          <w:p>
            <w:pPr>
              <w:spacing w:line="360" w:lineRule="auto"/>
              <w:rPr>
                <w:rFonts w:ascii="宋体" w:hAnsi="宋体"/>
                <w:sz w:val="24"/>
                <w:szCs w:val="24"/>
              </w:rPr>
            </w:pPr>
          </w:p>
        </w:tc>
        <w:tc>
          <w:tcPr>
            <w:tcW w:w="2497" w:type="dxa"/>
          </w:tcPr>
          <w:p>
            <w:pPr>
              <w:spacing w:line="360" w:lineRule="auto"/>
              <w:rPr>
                <w:rFonts w:ascii="宋体" w:hAnsi="宋体"/>
                <w:sz w:val="24"/>
                <w:szCs w:val="24"/>
              </w:rPr>
            </w:pPr>
          </w:p>
        </w:tc>
        <w:tc>
          <w:tcPr>
            <w:tcW w:w="2675" w:type="dxa"/>
          </w:tcPr>
          <w:p>
            <w:pPr>
              <w:spacing w:line="360" w:lineRule="auto"/>
              <w:rPr>
                <w:rFonts w:ascii="宋体" w:hAnsi="宋体"/>
                <w:sz w:val="24"/>
                <w:szCs w:val="24"/>
              </w:rPr>
            </w:pPr>
          </w:p>
        </w:tc>
        <w:tc>
          <w:tcPr>
            <w:tcW w:w="1073"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24" w:type="dxa"/>
          </w:tcPr>
          <w:p>
            <w:pPr>
              <w:spacing w:line="360" w:lineRule="auto"/>
              <w:rPr>
                <w:rFonts w:ascii="宋体" w:hAnsi="宋体"/>
                <w:sz w:val="24"/>
                <w:szCs w:val="24"/>
              </w:rPr>
            </w:pPr>
          </w:p>
        </w:tc>
        <w:tc>
          <w:tcPr>
            <w:tcW w:w="1963" w:type="dxa"/>
          </w:tcPr>
          <w:p>
            <w:pPr>
              <w:spacing w:line="360" w:lineRule="auto"/>
              <w:rPr>
                <w:rFonts w:ascii="宋体" w:hAnsi="宋体"/>
                <w:sz w:val="24"/>
                <w:szCs w:val="24"/>
              </w:rPr>
            </w:pPr>
          </w:p>
        </w:tc>
        <w:tc>
          <w:tcPr>
            <w:tcW w:w="2497" w:type="dxa"/>
          </w:tcPr>
          <w:p>
            <w:pPr>
              <w:spacing w:line="360" w:lineRule="auto"/>
              <w:rPr>
                <w:rFonts w:ascii="宋体" w:hAnsi="宋体"/>
                <w:sz w:val="24"/>
                <w:szCs w:val="24"/>
              </w:rPr>
            </w:pPr>
          </w:p>
        </w:tc>
        <w:tc>
          <w:tcPr>
            <w:tcW w:w="2675" w:type="dxa"/>
          </w:tcPr>
          <w:p>
            <w:pPr>
              <w:spacing w:line="360" w:lineRule="auto"/>
              <w:rPr>
                <w:rFonts w:ascii="宋体" w:hAnsi="宋体"/>
                <w:sz w:val="24"/>
                <w:szCs w:val="24"/>
              </w:rPr>
            </w:pPr>
          </w:p>
        </w:tc>
        <w:tc>
          <w:tcPr>
            <w:tcW w:w="1073"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4" w:type="dxa"/>
          </w:tcPr>
          <w:p>
            <w:pPr>
              <w:spacing w:line="360" w:lineRule="auto"/>
              <w:rPr>
                <w:rFonts w:ascii="宋体" w:hAnsi="宋体"/>
                <w:sz w:val="24"/>
                <w:szCs w:val="24"/>
              </w:rPr>
            </w:pPr>
          </w:p>
        </w:tc>
        <w:tc>
          <w:tcPr>
            <w:tcW w:w="1963" w:type="dxa"/>
          </w:tcPr>
          <w:p>
            <w:pPr>
              <w:spacing w:line="360" w:lineRule="auto"/>
              <w:rPr>
                <w:rFonts w:ascii="宋体" w:hAnsi="宋体"/>
                <w:sz w:val="24"/>
                <w:szCs w:val="24"/>
              </w:rPr>
            </w:pPr>
          </w:p>
        </w:tc>
        <w:tc>
          <w:tcPr>
            <w:tcW w:w="2497" w:type="dxa"/>
          </w:tcPr>
          <w:p>
            <w:pPr>
              <w:spacing w:line="360" w:lineRule="auto"/>
              <w:rPr>
                <w:rFonts w:ascii="宋体" w:hAnsi="宋体"/>
                <w:sz w:val="24"/>
                <w:szCs w:val="24"/>
              </w:rPr>
            </w:pPr>
          </w:p>
        </w:tc>
        <w:tc>
          <w:tcPr>
            <w:tcW w:w="2675" w:type="dxa"/>
          </w:tcPr>
          <w:p>
            <w:pPr>
              <w:spacing w:line="360" w:lineRule="auto"/>
              <w:rPr>
                <w:rFonts w:ascii="宋体" w:hAnsi="宋体"/>
                <w:sz w:val="24"/>
                <w:szCs w:val="24"/>
              </w:rPr>
            </w:pPr>
          </w:p>
        </w:tc>
        <w:tc>
          <w:tcPr>
            <w:tcW w:w="1073"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4" w:type="dxa"/>
          </w:tcPr>
          <w:p>
            <w:pPr>
              <w:spacing w:line="360" w:lineRule="auto"/>
              <w:rPr>
                <w:rFonts w:ascii="宋体" w:hAnsi="宋体"/>
                <w:sz w:val="24"/>
                <w:szCs w:val="24"/>
              </w:rPr>
            </w:pPr>
          </w:p>
        </w:tc>
        <w:tc>
          <w:tcPr>
            <w:tcW w:w="1963" w:type="dxa"/>
          </w:tcPr>
          <w:p>
            <w:pPr>
              <w:spacing w:line="360" w:lineRule="auto"/>
              <w:rPr>
                <w:rFonts w:ascii="宋体" w:hAnsi="宋体"/>
                <w:sz w:val="24"/>
                <w:szCs w:val="24"/>
              </w:rPr>
            </w:pPr>
          </w:p>
        </w:tc>
        <w:tc>
          <w:tcPr>
            <w:tcW w:w="2497" w:type="dxa"/>
          </w:tcPr>
          <w:p>
            <w:pPr>
              <w:spacing w:line="360" w:lineRule="auto"/>
              <w:rPr>
                <w:rFonts w:ascii="宋体" w:hAnsi="宋体"/>
                <w:sz w:val="24"/>
                <w:szCs w:val="24"/>
              </w:rPr>
            </w:pPr>
          </w:p>
        </w:tc>
        <w:tc>
          <w:tcPr>
            <w:tcW w:w="2675" w:type="dxa"/>
          </w:tcPr>
          <w:p>
            <w:pPr>
              <w:spacing w:line="360" w:lineRule="auto"/>
              <w:rPr>
                <w:rFonts w:ascii="宋体" w:hAnsi="宋体"/>
                <w:sz w:val="24"/>
                <w:szCs w:val="24"/>
              </w:rPr>
            </w:pPr>
          </w:p>
        </w:tc>
        <w:tc>
          <w:tcPr>
            <w:tcW w:w="1073"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4" w:type="dxa"/>
          </w:tcPr>
          <w:p>
            <w:pPr>
              <w:spacing w:line="360" w:lineRule="auto"/>
              <w:rPr>
                <w:rFonts w:ascii="宋体" w:hAnsi="宋体"/>
                <w:sz w:val="24"/>
                <w:szCs w:val="24"/>
              </w:rPr>
            </w:pPr>
          </w:p>
        </w:tc>
        <w:tc>
          <w:tcPr>
            <w:tcW w:w="1963" w:type="dxa"/>
          </w:tcPr>
          <w:p>
            <w:pPr>
              <w:spacing w:line="360" w:lineRule="auto"/>
              <w:rPr>
                <w:rFonts w:ascii="宋体" w:hAnsi="宋体"/>
                <w:sz w:val="24"/>
                <w:szCs w:val="24"/>
              </w:rPr>
            </w:pPr>
          </w:p>
        </w:tc>
        <w:tc>
          <w:tcPr>
            <w:tcW w:w="2497" w:type="dxa"/>
          </w:tcPr>
          <w:p>
            <w:pPr>
              <w:spacing w:line="360" w:lineRule="auto"/>
              <w:rPr>
                <w:rFonts w:ascii="宋体" w:hAnsi="宋体"/>
                <w:sz w:val="24"/>
                <w:szCs w:val="24"/>
              </w:rPr>
            </w:pPr>
          </w:p>
        </w:tc>
        <w:tc>
          <w:tcPr>
            <w:tcW w:w="2675" w:type="dxa"/>
          </w:tcPr>
          <w:p>
            <w:pPr>
              <w:spacing w:line="360" w:lineRule="auto"/>
              <w:rPr>
                <w:rFonts w:ascii="宋体" w:hAnsi="宋体"/>
                <w:sz w:val="24"/>
                <w:szCs w:val="24"/>
              </w:rPr>
            </w:pPr>
          </w:p>
        </w:tc>
        <w:tc>
          <w:tcPr>
            <w:tcW w:w="1073"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9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4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6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9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4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6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9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4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26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报价人：</w:t>
      </w:r>
      <w:r>
        <w:rPr>
          <w:rFonts w:hint="eastAsia" w:ascii="宋体" w:hAnsi="宋体"/>
          <w:sz w:val="24"/>
          <w:szCs w:val="24"/>
          <w:u w:val="single"/>
        </w:rPr>
        <w:t xml:space="preserve">              （章）               </w:t>
      </w:r>
    </w:p>
    <w:p>
      <w:pPr>
        <w:spacing w:line="360" w:lineRule="auto"/>
        <w:rPr>
          <w:rFonts w:ascii="宋体" w:hAnsi="宋体"/>
          <w:sz w:val="24"/>
          <w:szCs w:val="24"/>
          <w:u w:val="single"/>
        </w:rPr>
      </w:pPr>
    </w:p>
    <w:p>
      <w:pPr>
        <w:spacing w:line="360" w:lineRule="auto"/>
        <w:rPr>
          <w:rFonts w:ascii="宋体" w:hAnsi="宋体"/>
          <w:sz w:val="24"/>
          <w:szCs w:val="24"/>
          <w:u w:val="single"/>
        </w:rPr>
      </w:pPr>
      <w:r>
        <w:rPr>
          <w:rFonts w:hint="eastAsia" w:ascii="宋体" w:hAnsi="宋体"/>
          <w:sz w:val="24"/>
          <w:szCs w:val="24"/>
        </w:rPr>
        <w:t>被授权人签字：</w:t>
      </w:r>
      <w:r>
        <w:rPr>
          <w:rFonts w:hint="eastAsia" w:ascii="宋体" w:hAnsi="宋体"/>
          <w:sz w:val="24"/>
          <w:szCs w:val="24"/>
          <w:u w:val="single"/>
        </w:rPr>
        <w:t xml:space="preserve">                           </w:t>
      </w: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pStyle w:val="3"/>
      </w:pPr>
      <w:bookmarkStart w:id="40" w:name="_Toc12635"/>
      <w:r>
        <w:rPr>
          <w:rFonts w:hint="eastAsia"/>
        </w:rPr>
        <w:t>格式</w:t>
      </w:r>
      <w:bookmarkEnd w:id="40"/>
      <w:r>
        <w:rPr>
          <w:rFonts w:hint="eastAsia"/>
        </w:rPr>
        <w:t>5</w:t>
      </w:r>
      <w:r>
        <w:t xml:space="preserve"> </w:t>
      </w:r>
    </w:p>
    <w:p>
      <w:pPr>
        <w:pStyle w:val="10"/>
        <w:widowControl w:val="0"/>
        <w:autoSpaceDE w:val="0"/>
        <w:spacing w:before="100" w:beforeAutospacing="1" w:line="360" w:lineRule="auto"/>
        <w:jc w:val="center"/>
        <w:textAlignment w:val="top"/>
        <w:rPr>
          <w:rFonts w:ascii="宋体" w:hAnsi="宋体" w:eastAsia="宋体"/>
          <w:b/>
          <w:color w:val="auto"/>
          <w:sz w:val="32"/>
          <w:szCs w:val="32"/>
        </w:rPr>
      </w:pPr>
      <w:bookmarkStart w:id="41" w:name="_Toc310252877"/>
      <w:bookmarkStart w:id="42" w:name="_Toc146011787"/>
      <w:bookmarkStart w:id="43" w:name="_Toc155772936"/>
      <w:bookmarkStart w:id="44" w:name="_Toc153356464"/>
      <w:bookmarkStart w:id="45" w:name="_Toc153353723"/>
      <w:bookmarkStart w:id="46" w:name="_Toc155772037"/>
      <w:bookmarkStart w:id="47" w:name="_Toc193858800"/>
      <w:bookmarkStart w:id="48" w:name="_Toc195427236"/>
      <w:bookmarkStart w:id="49" w:name="_Toc47418732"/>
      <w:bookmarkStart w:id="50" w:name="_Toc49019237"/>
      <w:bookmarkStart w:id="51" w:name="_Toc47418256"/>
      <w:bookmarkStart w:id="52" w:name="_Toc48995852"/>
      <w:bookmarkStart w:id="53" w:name="_Toc47262070"/>
      <w:bookmarkStart w:id="54" w:name="_Toc47261691"/>
      <w:bookmarkStart w:id="55" w:name="_Toc153353722"/>
      <w:bookmarkStart w:id="56" w:name="_Toc155772929"/>
      <w:bookmarkStart w:id="57" w:name="_Toc47418939"/>
      <w:bookmarkStart w:id="58" w:name="_Toc155772930"/>
      <w:bookmarkStart w:id="59" w:name="_Toc47261886"/>
      <w:bookmarkStart w:id="60" w:name="_Toc155772343"/>
      <w:bookmarkStart w:id="61" w:name="_Toc48791236"/>
      <w:bookmarkStart w:id="62" w:name="_Toc146011786"/>
      <w:r>
        <w:rPr>
          <w:rFonts w:hint="eastAsia" w:ascii="宋体" w:hAnsi="宋体" w:eastAsia="宋体"/>
          <w:b/>
          <w:color w:val="auto"/>
          <w:sz w:val="32"/>
          <w:szCs w:val="32"/>
        </w:rPr>
        <w:t>法人代表授权书</w:t>
      </w:r>
      <w:bookmarkEnd w:id="41"/>
    </w:p>
    <w:p/>
    <w:p>
      <w:pPr>
        <w:topLinePunct/>
        <w:spacing w:line="360" w:lineRule="auto"/>
        <w:ind w:firstLine="480" w:firstLineChars="200"/>
        <w:rPr>
          <w:rFonts w:ascii="宋体" w:hAnsi="宋体"/>
          <w:sz w:val="24"/>
          <w:szCs w:val="24"/>
        </w:rPr>
      </w:pPr>
      <w:r>
        <w:rPr>
          <w:rFonts w:hint="eastAsia" w:ascii="宋体" w:hAnsi="宋体"/>
          <w:sz w:val="24"/>
          <w:szCs w:val="24"/>
        </w:rPr>
        <w:t>本授权书声明：</w:t>
      </w:r>
      <w:r>
        <w:rPr>
          <w:rFonts w:ascii="宋体" w:hAnsi="宋体"/>
          <w:sz w:val="24"/>
          <w:szCs w:val="24"/>
        </w:rPr>
        <w:t>本人</w:t>
      </w:r>
      <w:r>
        <w:rPr>
          <w:rFonts w:ascii="宋体" w:hAnsi="宋体"/>
          <w:sz w:val="24"/>
          <w:szCs w:val="24"/>
          <w:u w:val="single"/>
        </w:rPr>
        <w:t xml:space="preserve"> （姓名）</w:t>
      </w:r>
      <w:r>
        <w:rPr>
          <w:rFonts w:ascii="宋体" w:hAnsi="宋体"/>
          <w:sz w:val="24"/>
          <w:szCs w:val="24"/>
        </w:rPr>
        <w:t>系</w:t>
      </w:r>
      <w:r>
        <w:rPr>
          <w:rFonts w:hint="eastAsia" w:ascii="宋体" w:hAnsi="宋体"/>
          <w:sz w:val="24"/>
          <w:szCs w:val="24"/>
        </w:rPr>
        <w:t>注册于</w:t>
      </w:r>
      <w:r>
        <w:rPr>
          <w:rFonts w:hint="eastAsia" w:ascii="宋体" w:hAnsi="宋体"/>
          <w:sz w:val="24"/>
          <w:szCs w:val="24"/>
          <w:u w:val="single"/>
        </w:rPr>
        <w:t>（国家或地区）</w:t>
      </w:r>
      <w:r>
        <w:rPr>
          <w:rFonts w:hint="eastAsia" w:ascii="宋体" w:hAnsi="宋体"/>
          <w:sz w:val="24"/>
          <w:szCs w:val="24"/>
        </w:rPr>
        <w:t>的</w:t>
      </w:r>
      <w:r>
        <w:rPr>
          <w:rFonts w:hint="eastAsia" w:ascii="宋体" w:hAnsi="宋体"/>
          <w:sz w:val="24"/>
          <w:szCs w:val="24"/>
          <w:u w:val="single"/>
        </w:rPr>
        <w:t>（公司名称）</w:t>
      </w:r>
      <w:r>
        <w:rPr>
          <w:rFonts w:hint="eastAsia" w:ascii="宋体" w:hAnsi="宋体"/>
          <w:sz w:val="24"/>
          <w:szCs w:val="24"/>
        </w:rPr>
        <w:t>的</w:t>
      </w:r>
      <w:r>
        <w:rPr>
          <w:rFonts w:ascii="宋体" w:hAnsi="宋体"/>
          <w:sz w:val="24"/>
          <w:szCs w:val="24"/>
        </w:rPr>
        <w:t>法定代表人，</w:t>
      </w:r>
      <w:r>
        <w:rPr>
          <w:rFonts w:hint="eastAsia" w:ascii="宋体" w:hAnsi="宋体"/>
          <w:sz w:val="24"/>
          <w:szCs w:val="24"/>
        </w:rPr>
        <w:t>兹授权</w:t>
      </w:r>
      <w:r>
        <w:rPr>
          <w:rFonts w:ascii="宋体" w:hAnsi="宋体"/>
          <w:sz w:val="24"/>
          <w:szCs w:val="24"/>
          <w:u w:val="single"/>
        </w:rPr>
        <w:t>（姓名）</w:t>
      </w:r>
      <w:r>
        <w:rPr>
          <w:rFonts w:ascii="宋体" w:hAnsi="宋体"/>
          <w:sz w:val="24"/>
          <w:szCs w:val="24"/>
        </w:rPr>
        <w:t>为我方代理人</w:t>
      </w:r>
      <w:r>
        <w:rPr>
          <w:rFonts w:hint="eastAsia" w:ascii="宋体" w:hAnsi="宋体"/>
          <w:sz w:val="24"/>
          <w:szCs w:val="24"/>
        </w:rPr>
        <w:t>，</w:t>
      </w:r>
      <w:r>
        <w:rPr>
          <w:rFonts w:ascii="宋体" w:hAnsi="宋体"/>
          <w:sz w:val="24"/>
          <w:szCs w:val="24"/>
        </w:rPr>
        <w:t>代理人根据授权，以我方名义签署、澄清、说明、补正、递交、撤回、修改</w:t>
      </w:r>
      <w:r>
        <w:rPr>
          <w:rFonts w:ascii="宋体" w:hAnsi="宋体"/>
          <w:sz w:val="24"/>
          <w:szCs w:val="24"/>
          <w:u w:val="single"/>
        </w:rPr>
        <w:t xml:space="preserve"> </w:t>
      </w:r>
      <w:r>
        <w:rPr>
          <w:rFonts w:ascii="宋体" w:hAnsi="宋体"/>
          <w:sz w:val="24"/>
          <w:szCs w:val="24"/>
        </w:rPr>
        <w:t>报价文件、签订合同和</w:t>
      </w:r>
      <w:r>
        <w:rPr>
          <w:rFonts w:hint="eastAsia" w:ascii="宋体" w:hAnsi="宋体"/>
          <w:sz w:val="24"/>
          <w:szCs w:val="24"/>
        </w:rPr>
        <w:t>以本公司名义处理一切与之有关的事务</w:t>
      </w:r>
      <w:r>
        <w:rPr>
          <w:rFonts w:ascii="宋体" w:hAnsi="宋体"/>
          <w:sz w:val="24"/>
          <w:szCs w:val="24"/>
        </w:rPr>
        <w:t>，其法律后果由我方承担。</w:t>
      </w:r>
    </w:p>
    <w:p>
      <w:pPr>
        <w:spacing w:line="360" w:lineRule="auto"/>
        <w:rPr>
          <w:rFonts w:ascii="宋体" w:hAnsi="宋体"/>
          <w:sz w:val="24"/>
          <w:szCs w:val="24"/>
        </w:rPr>
      </w:pPr>
      <w:r>
        <w:rPr>
          <w:rFonts w:ascii="宋体" w:hAnsi="宋体"/>
          <w:sz w:val="24"/>
          <w:szCs w:val="24"/>
        </w:rPr>
        <w:t xml:space="preserve">    委托期限：</w:t>
      </w:r>
      <w:r>
        <w:rPr>
          <w:rFonts w:ascii="宋体" w:hAnsi="宋体"/>
          <w:sz w:val="24"/>
          <w:szCs w:val="24"/>
          <w:u w:val="single"/>
        </w:rPr>
        <w:t xml:space="preserve">             </w:t>
      </w:r>
    </w:p>
    <w:p>
      <w:pPr>
        <w:spacing w:line="360" w:lineRule="auto"/>
        <w:ind w:firstLine="480" w:firstLineChars="200"/>
        <w:rPr>
          <w:rFonts w:ascii="宋体" w:hAnsi="宋体"/>
          <w:sz w:val="24"/>
          <w:szCs w:val="24"/>
        </w:rPr>
      </w:pPr>
      <w:r>
        <w:rPr>
          <w:rFonts w:ascii="宋体" w:hAnsi="宋体"/>
          <w:sz w:val="24"/>
          <w:szCs w:val="24"/>
        </w:rPr>
        <w:t>代理人无转委托权。</w:t>
      </w:r>
    </w:p>
    <w:p>
      <w:pPr>
        <w:spacing w:line="360" w:lineRule="auto"/>
        <w:ind w:firstLine="480" w:firstLineChars="200"/>
        <w:rPr>
          <w:rFonts w:ascii="宋体" w:hAnsi="宋体"/>
          <w:sz w:val="24"/>
          <w:szCs w:val="24"/>
        </w:rPr>
      </w:pPr>
      <w:r>
        <w:rPr>
          <w:rFonts w:ascii="宋体" w:hAnsi="宋体"/>
          <w:sz w:val="24"/>
          <w:szCs w:val="24"/>
        </w:rPr>
        <w:t>附：授权委托代理人身份证（复印件）</w:t>
      </w:r>
    </w:p>
    <w:p>
      <w:pPr>
        <w:pStyle w:val="10"/>
        <w:widowControl w:val="0"/>
        <w:autoSpaceDE w:val="0"/>
        <w:spacing w:before="100" w:beforeAutospacing="1" w:line="360" w:lineRule="auto"/>
        <w:ind w:firstLine="560" w:firstLineChars="200"/>
        <w:jc w:val="left"/>
        <w:textAlignment w:val="top"/>
        <w:rPr>
          <w:rFonts w:ascii="宋体" w:hAnsi="宋体" w:eastAsia="宋体"/>
          <w:color w:val="auto"/>
          <w:sz w:val="24"/>
          <w:szCs w:val="24"/>
        </w:rPr>
      </w:pPr>
      <w:r>
        <w:rPr>
          <w:rFonts w:ascii="宋体" w:hAnsi="宋体"/>
          <w:color w:val="auto"/>
          <w:szCs w:val="21"/>
        </w:rPr>
        <w:pict>
          <v:roundrect id="自选图形 7" o:spid="_x0000_s1026" o:spt="2" style="height:139.2pt;width:391.95pt;" stroked="t" coordsize="21600,21600" arcsize="0.166666666666667" o:gfxdata="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eFjatUAAAAFAQAADwAAAAAAAAABACAAAAAi&#10;AAAAZHJzL2Rvd25yZXYueG1sUEsBAhQAFAAAAAgAh07iQJPNr4gNAgAACgQAAA4AAAAAAAAAAQAg&#10;AAAAJAEAAGRycy9lMm9Eb2MueG1sUEsFBgAAAAAGAAYAWQEAAKMFAAAAAA==&#10;">
            <v:path/>
            <v:fill focussize="0,0"/>
            <v:stroke color="#0000FF" dashstyle="1 1"/>
            <v:imagedata o:title=""/>
            <o:lock v:ext="edit"/>
            <v:textbox>
              <w:txbxContent>
                <w:p>
                  <w:pPr>
                    <w:jc w:val="center"/>
                    <w:rPr>
                      <w:color w:val="0000FF"/>
                    </w:rPr>
                  </w:pPr>
                  <w:r>
                    <w:rPr>
                      <w:rFonts w:hint="eastAsia"/>
                      <w:color w:val="0000FF"/>
                    </w:rPr>
                    <w:t>（</w:t>
                  </w:r>
                  <w:r>
                    <w:rPr>
                      <w:color w:val="0000FF"/>
                    </w:rPr>
                    <w:t>身份证</w:t>
                  </w:r>
                  <w:r>
                    <w:rPr>
                      <w:rFonts w:hint="eastAsia"/>
                      <w:color w:val="0000FF"/>
                    </w:rPr>
                    <w:t>复印件）</w:t>
                  </w:r>
                </w:p>
              </w:txbxContent>
            </v:textbox>
            <w10:wrap type="none"/>
            <w10:anchorlock/>
          </v:roundrect>
        </w:pict>
      </w:r>
    </w:p>
    <w:p>
      <w:pPr>
        <w:pStyle w:val="10"/>
        <w:widowControl w:val="0"/>
        <w:autoSpaceDE w:val="0"/>
        <w:spacing w:before="100" w:beforeAutospacing="1" w:line="360" w:lineRule="auto"/>
        <w:jc w:val="left"/>
        <w:textAlignment w:val="top"/>
        <w:rPr>
          <w:rFonts w:ascii="宋体" w:hAnsi="宋体" w:eastAsia="宋体"/>
          <w:color w:val="auto"/>
          <w:sz w:val="24"/>
          <w:szCs w:val="24"/>
        </w:rPr>
      </w:pPr>
    </w:p>
    <w:p>
      <w:pPr>
        <w:pStyle w:val="10"/>
        <w:widowControl w:val="0"/>
        <w:autoSpaceDE w:val="0"/>
        <w:spacing w:before="100" w:beforeAutospacing="1" w:line="360" w:lineRule="auto"/>
        <w:ind w:firstLine="480" w:firstLineChars="200"/>
        <w:jc w:val="left"/>
        <w:textAlignment w:val="top"/>
        <w:rPr>
          <w:rFonts w:ascii="宋体" w:hAnsi="宋体" w:eastAsia="宋体"/>
          <w:color w:val="auto"/>
          <w:sz w:val="24"/>
          <w:szCs w:val="24"/>
        </w:rPr>
      </w:pPr>
      <w:r>
        <w:rPr>
          <w:rFonts w:hint="eastAsia" w:ascii="宋体" w:hAnsi="宋体" w:eastAsia="宋体"/>
          <w:color w:val="auto"/>
          <w:sz w:val="24"/>
          <w:szCs w:val="24"/>
        </w:rPr>
        <w:t>本授权书于＿＿＿＿＿年＿＿＿＿月＿＿＿＿日签字生效，特此声明。</w:t>
      </w:r>
    </w:p>
    <w:p>
      <w:pPr>
        <w:pStyle w:val="10"/>
        <w:widowControl w:val="0"/>
        <w:autoSpaceDE w:val="0"/>
        <w:spacing w:before="100" w:beforeAutospacing="1" w:line="360" w:lineRule="auto"/>
        <w:jc w:val="left"/>
        <w:textAlignment w:val="top"/>
        <w:rPr>
          <w:rFonts w:ascii="宋体" w:hAnsi="宋体" w:eastAsia="宋体"/>
          <w:color w:val="auto"/>
          <w:sz w:val="24"/>
          <w:szCs w:val="24"/>
        </w:rPr>
      </w:pPr>
      <w:r>
        <w:rPr>
          <w:rFonts w:hint="eastAsia" w:ascii="宋体" w:hAnsi="宋体" w:eastAsia="宋体"/>
          <w:color w:val="auto"/>
          <w:sz w:val="24"/>
          <w:szCs w:val="24"/>
        </w:rPr>
        <w:t>单    位：</w:t>
      </w:r>
      <w:r>
        <w:rPr>
          <w:rFonts w:hint="eastAsia" w:ascii="宋体" w:hAnsi="宋体" w:eastAsia="宋体"/>
          <w:color w:val="auto"/>
          <w:sz w:val="24"/>
          <w:szCs w:val="24"/>
          <w:u w:val="single"/>
        </w:rPr>
        <w:t xml:space="preserve">                （章）                  </w:t>
      </w:r>
      <w:r>
        <w:rPr>
          <w:rFonts w:hint="eastAsia" w:ascii="宋体" w:hAnsi="宋体" w:eastAsia="宋体"/>
          <w:color w:val="auto"/>
          <w:sz w:val="24"/>
          <w:szCs w:val="24"/>
        </w:rPr>
        <w:t xml:space="preserve">  </w:t>
      </w:r>
    </w:p>
    <w:p>
      <w:pPr>
        <w:pStyle w:val="10"/>
        <w:widowControl w:val="0"/>
        <w:autoSpaceDE w:val="0"/>
        <w:spacing w:before="100" w:beforeAutospacing="1" w:line="360" w:lineRule="auto"/>
        <w:jc w:val="left"/>
        <w:textAlignment w:val="top"/>
        <w:rPr>
          <w:rFonts w:ascii="宋体" w:hAnsi="宋体" w:eastAsia="宋体"/>
          <w:color w:val="auto"/>
          <w:sz w:val="24"/>
          <w:szCs w:val="24"/>
        </w:rPr>
      </w:pPr>
      <w:r>
        <w:rPr>
          <w:rFonts w:hint="eastAsia" w:ascii="宋体" w:hAnsi="宋体" w:eastAsia="宋体"/>
          <w:color w:val="auto"/>
          <w:sz w:val="24"/>
          <w:szCs w:val="24"/>
        </w:rPr>
        <w:t>法定代表人签字：＿＿＿＿＿＿＿＿＿＿＿＿＿＿＿＿＿</w:t>
      </w:r>
    </w:p>
    <w:p>
      <w:pPr>
        <w:pStyle w:val="10"/>
        <w:widowControl w:val="0"/>
        <w:autoSpaceDE w:val="0"/>
        <w:spacing w:before="100" w:beforeAutospacing="1" w:line="360" w:lineRule="auto"/>
        <w:jc w:val="left"/>
        <w:textAlignment w:val="top"/>
        <w:rPr>
          <w:rFonts w:ascii="宋体" w:hAnsi="宋体" w:eastAsia="宋体"/>
          <w:color w:val="auto"/>
          <w:sz w:val="24"/>
          <w:szCs w:val="24"/>
        </w:rPr>
      </w:pPr>
      <w:r>
        <w:rPr>
          <w:rFonts w:hint="eastAsia" w:ascii="宋体" w:hAnsi="宋体" w:eastAsia="宋体"/>
          <w:color w:val="auto"/>
          <w:sz w:val="24"/>
          <w:szCs w:val="24"/>
        </w:rPr>
        <w:t>被授权人签字：＿＿＿＿＿＿＿＿＿＿＿＿＿＿＿＿＿＿</w:t>
      </w:r>
    </w:p>
    <w:p>
      <w:pPr>
        <w:spacing w:line="360" w:lineRule="auto"/>
        <w:ind w:left="359"/>
        <w:rPr>
          <w:rFonts w:ascii="宋体" w:hAnsi="宋体"/>
          <w:b/>
          <w:sz w:val="24"/>
          <w:szCs w:val="24"/>
        </w:rPr>
      </w:pPr>
      <w:r>
        <w:rPr>
          <w:sz w:val="24"/>
          <w:szCs w:val="24"/>
        </w:rPr>
        <w:br w:type="page"/>
      </w:r>
    </w:p>
    <w:bookmarkEnd w:id="42"/>
    <w:bookmarkEnd w:id="43"/>
    <w:bookmarkEnd w:id="44"/>
    <w:bookmarkEnd w:id="45"/>
    <w:bookmarkEnd w:id="46"/>
    <w:bookmarkEnd w:id="47"/>
    <w:bookmarkEnd w:id="48"/>
    <w:p>
      <w:pPr>
        <w:pStyle w:val="3"/>
      </w:pPr>
      <w:bookmarkStart w:id="63" w:name="_Toc4052"/>
      <w:r>
        <w:rPr>
          <w:rFonts w:hint="eastAsia"/>
        </w:rPr>
        <w:t>格式</w:t>
      </w:r>
      <w:bookmarkEnd w:id="63"/>
      <w:r>
        <w:rPr>
          <w:rFonts w:hint="eastAsia"/>
        </w:rPr>
        <w:t>6</w:t>
      </w:r>
    </w:p>
    <w:p>
      <w:pPr>
        <w:jc w:val="center"/>
        <w:rPr>
          <w:rFonts w:ascii="宋体" w:hAnsi="宋体"/>
          <w:b/>
          <w:sz w:val="32"/>
          <w:szCs w:val="32"/>
        </w:rPr>
      </w:pPr>
      <w:r>
        <w:rPr>
          <w:rFonts w:hint="eastAsia" w:ascii="宋体" w:hAnsi="宋体"/>
          <w:b/>
          <w:sz w:val="32"/>
          <w:szCs w:val="32"/>
        </w:rPr>
        <w:t>资格证明文件</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ind w:firstLine="240" w:firstLineChars="100"/>
        <w:rPr>
          <w:rFonts w:ascii="宋体" w:hAnsi="宋体"/>
          <w:sz w:val="24"/>
          <w:szCs w:val="24"/>
        </w:rPr>
      </w:pPr>
      <w:r>
        <w:rPr>
          <w:rFonts w:hint="eastAsia" w:ascii="宋体" w:hAnsi="宋体"/>
          <w:sz w:val="24"/>
          <w:szCs w:val="24"/>
        </w:rPr>
        <w:t>1报价人的资格声明（此表可以扩充）</w:t>
      </w:r>
    </w:p>
    <w:tbl>
      <w:tblPr>
        <w:tblStyle w:val="18"/>
        <w:tblW w:w="9076" w:type="dxa"/>
        <w:jc w:val="center"/>
        <w:tblLayout w:type="fixed"/>
        <w:tblCellMar>
          <w:top w:w="0" w:type="dxa"/>
          <w:left w:w="108" w:type="dxa"/>
          <w:bottom w:w="0" w:type="dxa"/>
          <w:right w:w="108" w:type="dxa"/>
        </w:tblCellMar>
      </w:tblPr>
      <w:tblGrid>
        <w:gridCol w:w="562"/>
        <w:gridCol w:w="3822"/>
        <w:gridCol w:w="4692"/>
      </w:tblGrid>
      <w:tr>
        <w:tblPrEx>
          <w:tblCellMar>
            <w:top w:w="0" w:type="dxa"/>
            <w:left w:w="108" w:type="dxa"/>
            <w:bottom w:w="0" w:type="dxa"/>
            <w:right w:w="108" w:type="dxa"/>
          </w:tblCellMar>
        </w:tblPrEx>
        <w:trPr>
          <w:trHeight w:val="649" w:hRule="atLeast"/>
          <w:jc w:val="center"/>
        </w:trPr>
        <w:tc>
          <w:tcPr>
            <w:tcW w:w="4384" w:type="dxa"/>
            <w:gridSpan w:val="2"/>
            <w:tcBorders>
              <w:top w:val="single" w:color="auto" w:sz="8" w:space="0"/>
              <w:left w:val="single" w:color="auto" w:sz="8" w:space="0"/>
              <w:bottom w:val="nil"/>
              <w:right w:val="nil"/>
            </w:tcBorders>
            <w:vAlign w:val="center"/>
          </w:tcPr>
          <w:p>
            <w:pPr>
              <w:widowControl/>
              <w:jc w:val="center"/>
              <w:rPr>
                <w:b/>
                <w:bCs/>
                <w:kern w:val="0"/>
                <w:szCs w:val="21"/>
              </w:rPr>
            </w:pPr>
            <w:r>
              <w:rPr>
                <w:rFonts w:hint="eastAsia"/>
                <w:b/>
                <w:bCs/>
                <w:kern w:val="0"/>
                <w:szCs w:val="21"/>
              </w:rPr>
              <w:t>报价</w:t>
            </w:r>
            <w:r>
              <w:rPr>
                <w:b/>
                <w:bCs/>
                <w:kern w:val="0"/>
                <w:szCs w:val="21"/>
              </w:rPr>
              <w:t>人名称</w:t>
            </w:r>
          </w:p>
        </w:tc>
        <w:tc>
          <w:tcPr>
            <w:tcW w:w="4692" w:type="dxa"/>
            <w:tcBorders>
              <w:top w:val="single" w:color="auto" w:sz="8" w:space="0"/>
              <w:left w:val="single" w:color="auto" w:sz="8" w:space="0"/>
              <w:bottom w:val="nil"/>
              <w:right w:val="single" w:color="auto" w:sz="8" w:space="0"/>
            </w:tcBorders>
            <w:vAlign w:val="center"/>
          </w:tcPr>
          <w:p>
            <w:pPr>
              <w:widowControl/>
              <w:jc w:val="center"/>
              <w:rPr>
                <w:kern w:val="0"/>
                <w:szCs w:val="21"/>
              </w:rPr>
            </w:pPr>
          </w:p>
        </w:tc>
      </w:tr>
      <w:tr>
        <w:tblPrEx>
          <w:tblCellMar>
            <w:top w:w="0" w:type="dxa"/>
            <w:left w:w="108" w:type="dxa"/>
            <w:bottom w:w="0" w:type="dxa"/>
            <w:right w:w="108" w:type="dxa"/>
          </w:tblCellMar>
        </w:tblPrEx>
        <w:trPr>
          <w:trHeight w:val="559" w:hRule="atLeast"/>
          <w:jc w:val="center"/>
        </w:trPr>
        <w:tc>
          <w:tcPr>
            <w:tcW w:w="562" w:type="dxa"/>
            <w:vMerge w:val="restart"/>
            <w:tcBorders>
              <w:top w:val="single" w:color="auto" w:sz="8" w:space="0"/>
              <w:left w:val="single" w:color="auto" w:sz="8" w:space="0"/>
              <w:right w:val="single" w:color="auto" w:sz="4" w:space="0"/>
            </w:tcBorders>
            <w:vAlign w:val="center"/>
          </w:tcPr>
          <w:p>
            <w:pPr>
              <w:widowControl/>
              <w:jc w:val="center"/>
              <w:rPr>
                <w:rFonts w:ascii="宋体" w:hAnsi="宋体"/>
                <w:b/>
                <w:bCs/>
                <w:kern w:val="0"/>
                <w:sz w:val="24"/>
                <w:szCs w:val="24"/>
              </w:rPr>
            </w:pPr>
            <w:r>
              <w:rPr>
                <w:rFonts w:hint="eastAsia" w:ascii="宋体" w:hAnsi="宋体"/>
                <w:b/>
                <w:bCs/>
                <w:kern w:val="0"/>
                <w:sz w:val="24"/>
                <w:szCs w:val="24"/>
              </w:rPr>
              <w:t>报价</w:t>
            </w:r>
            <w:r>
              <w:rPr>
                <w:rFonts w:ascii="宋体" w:hAnsi="宋体"/>
                <w:b/>
                <w:bCs/>
                <w:kern w:val="0"/>
                <w:sz w:val="24"/>
                <w:szCs w:val="24"/>
              </w:rPr>
              <w:t>人    基本情况</w:t>
            </w:r>
          </w:p>
        </w:tc>
        <w:tc>
          <w:tcPr>
            <w:tcW w:w="3822" w:type="dxa"/>
            <w:tcBorders>
              <w:top w:val="single" w:color="auto" w:sz="8" w:space="0"/>
              <w:left w:val="nil"/>
              <w:bottom w:val="single" w:color="auto" w:sz="4" w:space="0"/>
              <w:right w:val="nil"/>
            </w:tcBorders>
            <w:vAlign w:val="center"/>
          </w:tcPr>
          <w:p>
            <w:pPr>
              <w:widowControl/>
              <w:rPr>
                <w:rFonts w:ascii="宋体" w:hAnsi="宋体"/>
                <w:b/>
                <w:kern w:val="0"/>
                <w:sz w:val="24"/>
                <w:szCs w:val="24"/>
              </w:rPr>
            </w:pPr>
            <w:r>
              <w:rPr>
                <w:rFonts w:ascii="宋体" w:hAnsi="宋体"/>
                <w:b/>
                <w:kern w:val="0"/>
                <w:sz w:val="24"/>
                <w:szCs w:val="24"/>
              </w:rPr>
              <w:t>成立时间</w:t>
            </w:r>
          </w:p>
        </w:tc>
        <w:tc>
          <w:tcPr>
            <w:tcW w:w="4692" w:type="dxa"/>
            <w:tcBorders>
              <w:top w:val="single" w:color="auto" w:sz="8" w:space="0"/>
              <w:left w:val="single" w:color="auto" w:sz="8" w:space="0"/>
              <w:bottom w:val="single" w:color="auto" w:sz="4" w:space="0"/>
              <w:right w:val="single" w:color="auto" w:sz="8"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605" w:hRule="atLeast"/>
          <w:jc w:val="center"/>
        </w:trPr>
        <w:tc>
          <w:tcPr>
            <w:tcW w:w="562" w:type="dxa"/>
            <w:vMerge w:val="continue"/>
            <w:tcBorders>
              <w:left w:val="single" w:color="auto" w:sz="8" w:space="0"/>
              <w:right w:val="single" w:color="auto" w:sz="4" w:space="0"/>
            </w:tcBorders>
            <w:vAlign w:val="center"/>
          </w:tcPr>
          <w:p>
            <w:pPr>
              <w:widowControl/>
              <w:jc w:val="center"/>
              <w:rPr>
                <w:rFonts w:ascii="宋体" w:hAnsi="宋体"/>
                <w:b/>
                <w:bCs/>
                <w:kern w:val="0"/>
                <w:sz w:val="24"/>
                <w:szCs w:val="24"/>
              </w:rPr>
            </w:pPr>
          </w:p>
        </w:tc>
        <w:tc>
          <w:tcPr>
            <w:tcW w:w="3822" w:type="dxa"/>
            <w:tcBorders>
              <w:top w:val="nil"/>
              <w:left w:val="nil"/>
              <w:bottom w:val="single" w:color="auto" w:sz="4" w:space="0"/>
              <w:right w:val="nil"/>
            </w:tcBorders>
            <w:vAlign w:val="center"/>
          </w:tcPr>
          <w:p>
            <w:pPr>
              <w:widowControl/>
              <w:rPr>
                <w:rFonts w:ascii="宋体" w:hAnsi="宋体"/>
                <w:b/>
                <w:kern w:val="0"/>
                <w:sz w:val="24"/>
                <w:szCs w:val="24"/>
              </w:rPr>
            </w:pPr>
            <w:r>
              <w:rPr>
                <w:rFonts w:ascii="宋体" w:hAnsi="宋体"/>
                <w:b/>
                <w:kern w:val="0"/>
                <w:sz w:val="24"/>
                <w:szCs w:val="24"/>
              </w:rPr>
              <w:t>注册地点</w:t>
            </w:r>
          </w:p>
        </w:tc>
        <w:tc>
          <w:tcPr>
            <w:tcW w:w="4692" w:type="dxa"/>
            <w:tcBorders>
              <w:top w:val="nil"/>
              <w:left w:val="single" w:color="auto" w:sz="8" w:space="0"/>
              <w:bottom w:val="single" w:color="auto" w:sz="4" w:space="0"/>
              <w:right w:val="single" w:color="auto" w:sz="8"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613" w:hRule="atLeast"/>
          <w:jc w:val="center"/>
        </w:trPr>
        <w:tc>
          <w:tcPr>
            <w:tcW w:w="562" w:type="dxa"/>
            <w:vMerge w:val="continue"/>
            <w:tcBorders>
              <w:left w:val="single" w:color="auto" w:sz="8" w:space="0"/>
              <w:right w:val="single" w:color="auto" w:sz="4" w:space="0"/>
            </w:tcBorders>
            <w:vAlign w:val="center"/>
          </w:tcPr>
          <w:p>
            <w:pPr>
              <w:widowControl/>
              <w:jc w:val="center"/>
              <w:rPr>
                <w:rFonts w:ascii="宋体" w:hAnsi="宋体"/>
                <w:b/>
                <w:bCs/>
                <w:kern w:val="0"/>
                <w:sz w:val="24"/>
                <w:szCs w:val="24"/>
              </w:rPr>
            </w:pPr>
          </w:p>
        </w:tc>
        <w:tc>
          <w:tcPr>
            <w:tcW w:w="3822" w:type="dxa"/>
            <w:tcBorders>
              <w:top w:val="nil"/>
              <w:left w:val="nil"/>
              <w:bottom w:val="single" w:color="auto" w:sz="4" w:space="0"/>
              <w:right w:val="nil"/>
            </w:tcBorders>
            <w:vAlign w:val="center"/>
          </w:tcPr>
          <w:p>
            <w:pPr>
              <w:widowControl/>
              <w:rPr>
                <w:rFonts w:ascii="宋体" w:hAnsi="宋体"/>
                <w:b/>
                <w:kern w:val="0"/>
                <w:sz w:val="24"/>
                <w:szCs w:val="24"/>
              </w:rPr>
            </w:pPr>
            <w:r>
              <w:rPr>
                <w:rFonts w:ascii="宋体" w:hAnsi="宋体"/>
                <w:b/>
                <w:kern w:val="0"/>
                <w:sz w:val="24"/>
                <w:szCs w:val="24"/>
              </w:rPr>
              <w:t>注册资金</w:t>
            </w:r>
          </w:p>
        </w:tc>
        <w:tc>
          <w:tcPr>
            <w:tcW w:w="4692" w:type="dxa"/>
            <w:tcBorders>
              <w:top w:val="nil"/>
              <w:left w:val="single" w:color="auto" w:sz="8" w:space="0"/>
              <w:bottom w:val="single" w:color="auto" w:sz="4" w:space="0"/>
              <w:right w:val="single" w:color="auto" w:sz="8"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614" w:hRule="atLeast"/>
          <w:jc w:val="center"/>
        </w:trPr>
        <w:tc>
          <w:tcPr>
            <w:tcW w:w="562" w:type="dxa"/>
            <w:vMerge w:val="continue"/>
            <w:tcBorders>
              <w:left w:val="single" w:color="auto" w:sz="8" w:space="0"/>
              <w:right w:val="single" w:color="auto" w:sz="4" w:space="0"/>
            </w:tcBorders>
            <w:vAlign w:val="center"/>
          </w:tcPr>
          <w:p>
            <w:pPr>
              <w:widowControl/>
              <w:jc w:val="center"/>
              <w:rPr>
                <w:rFonts w:ascii="宋体" w:hAnsi="宋体"/>
                <w:b/>
                <w:bCs/>
                <w:kern w:val="0"/>
                <w:sz w:val="24"/>
                <w:szCs w:val="24"/>
              </w:rPr>
            </w:pPr>
          </w:p>
        </w:tc>
        <w:tc>
          <w:tcPr>
            <w:tcW w:w="3822" w:type="dxa"/>
            <w:tcBorders>
              <w:top w:val="nil"/>
              <w:left w:val="nil"/>
              <w:bottom w:val="single" w:color="auto" w:sz="4" w:space="0"/>
              <w:right w:val="nil"/>
            </w:tcBorders>
            <w:vAlign w:val="center"/>
          </w:tcPr>
          <w:p>
            <w:pPr>
              <w:widowControl/>
              <w:rPr>
                <w:rFonts w:ascii="宋体" w:hAnsi="宋体"/>
                <w:b/>
                <w:kern w:val="0"/>
                <w:sz w:val="24"/>
                <w:szCs w:val="24"/>
              </w:rPr>
            </w:pPr>
            <w:r>
              <w:rPr>
                <w:rFonts w:ascii="宋体" w:hAnsi="宋体"/>
                <w:b/>
                <w:kern w:val="0"/>
                <w:sz w:val="24"/>
                <w:szCs w:val="24"/>
              </w:rPr>
              <w:t>经营范围</w:t>
            </w:r>
          </w:p>
        </w:tc>
        <w:tc>
          <w:tcPr>
            <w:tcW w:w="4692" w:type="dxa"/>
            <w:tcBorders>
              <w:top w:val="nil"/>
              <w:left w:val="single" w:color="auto" w:sz="8" w:space="0"/>
              <w:bottom w:val="single" w:color="auto" w:sz="4" w:space="0"/>
              <w:right w:val="single" w:color="auto" w:sz="8"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616" w:hRule="atLeast"/>
          <w:jc w:val="center"/>
        </w:trPr>
        <w:tc>
          <w:tcPr>
            <w:tcW w:w="562" w:type="dxa"/>
            <w:vMerge w:val="continue"/>
            <w:tcBorders>
              <w:left w:val="single" w:color="auto" w:sz="8" w:space="0"/>
              <w:right w:val="single" w:color="auto" w:sz="4" w:space="0"/>
            </w:tcBorders>
            <w:vAlign w:val="center"/>
          </w:tcPr>
          <w:p>
            <w:pPr>
              <w:widowControl/>
              <w:jc w:val="center"/>
              <w:rPr>
                <w:rFonts w:ascii="宋体" w:hAnsi="宋体"/>
                <w:b/>
                <w:bCs/>
                <w:kern w:val="0"/>
                <w:sz w:val="24"/>
                <w:szCs w:val="24"/>
              </w:rPr>
            </w:pPr>
          </w:p>
        </w:tc>
        <w:tc>
          <w:tcPr>
            <w:tcW w:w="3822" w:type="dxa"/>
            <w:tcBorders>
              <w:top w:val="nil"/>
              <w:left w:val="nil"/>
              <w:bottom w:val="single" w:color="auto" w:sz="4" w:space="0"/>
              <w:right w:val="nil"/>
            </w:tcBorders>
            <w:vAlign w:val="center"/>
          </w:tcPr>
          <w:p>
            <w:pPr>
              <w:widowControl/>
              <w:rPr>
                <w:rFonts w:ascii="宋体" w:hAnsi="宋体"/>
                <w:b/>
                <w:kern w:val="0"/>
                <w:sz w:val="24"/>
                <w:szCs w:val="24"/>
              </w:rPr>
            </w:pPr>
            <w:r>
              <w:rPr>
                <w:rFonts w:ascii="宋体" w:hAnsi="宋体"/>
                <w:b/>
                <w:kern w:val="0"/>
                <w:sz w:val="24"/>
                <w:szCs w:val="24"/>
              </w:rPr>
              <w:t>员工总人数及分布情况</w:t>
            </w:r>
          </w:p>
        </w:tc>
        <w:tc>
          <w:tcPr>
            <w:tcW w:w="4692" w:type="dxa"/>
            <w:tcBorders>
              <w:top w:val="nil"/>
              <w:left w:val="single" w:color="auto" w:sz="8" w:space="0"/>
              <w:bottom w:val="single" w:color="auto" w:sz="4" w:space="0"/>
              <w:right w:val="single" w:color="auto" w:sz="8"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772" w:hRule="atLeast"/>
          <w:jc w:val="center"/>
        </w:trPr>
        <w:tc>
          <w:tcPr>
            <w:tcW w:w="562" w:type="dxa"/>
            <w:vMerge w:val="continue"/>
            <w:tcBorders>
              <w:left w:val="single" w:color="auto" w:sz="8" w:space="0"/>
              <w:bottom w:val="single" w:color="000000" w:sz="8" w:space="0"/>
              <w:right w:val="single" w:color="auto" w:sz="4" w:space="0"/>
            </w:tcBorders>
            <w:vAlign w:val="center"/>
          </w:tcPr>
          <w:p>
            <w:pPr>
              <w:widowControl/>
              <w:jc w:val="center"/>
              <w:rPr>
                <w:rFonts w:ascii="宋体" w:hAnsi="宋体"/>
                <w:b/>
                <w:bCs/>
                <w:kern w:val="0"/>
                <w:sz w:val="24"/>
                <w:szCs w:val="24"/>
              </w:rPr>
            </w:pPr>
          </w:p>
        </w:tc>
        <w:tc>
          <w:tcPr>
            <w:tcW w:w="3822" w:type="dxa"/>
            <w:tcBorders>
              <w:top w:val="nil"/>
              <w:left w:val="nil"/>
              <w:bottom w:val="single" w:color="auto" w:sz="4" w:space="0"/>
              <w:right w:val="single" w:color="auto" w:sz="4" w:space="0"/>
            </w:tcBorders>
            <w:vAlign w:val="center"/>
          </w:tcPr>
          <w:p>
            <w:pPr>
              <w:widowControl/>
              <w:rPr>
                <w:rFonts w:ascii="宋体" w:hAnsi="宋体"/>
                <w:b/>
                <w:kern w:val="0"/>
                <w:sz w:val="24"/>
                <w:szCs w:val="24"/>
              </w:rPr>
            </w:pPr>
            <w:r>
              <w:rPr>
                <w:rFonts w:ascii="宋体" w:hAnsi="宋体"/>
                <w:b/>
                <w:kern w:val="0"/>
                <w:sz w:val="24"/>
                <w:szCs w:val="24"/>
              </w:rPr>
              <w:t>最近</w:t>
            </w:r>
            <w:r>
              <w:rPr>
                <w:rFonts w:hint="eastAsia" w:ascii="宋体" w:hAnsi="宋体"/>
                <w:b/>
                <w:kern w:val="0"/>
                <w:sz w:val="24"/>
                <w:szCs w:val="24"/>
              </w:rPr>
              <w:t>三</w:t>
            </w:r>
            <w:r>
              <w:rPr>
                <w:rFonts w:ascii="宋体" w:hAnsi="宋体"/>
                <w:b/>
                <w:kern w:val="0"/>
                <w:sz w:val="24"/>
                <w:szCs w:val="24"/>
              </w:rPr>
              <w:t>年国内业绩简介</w:t>
            </w:r>
          </w:p>
        </w:tc>
        <w:tc>
          <w:tcPr>
            <w:tcW w:w="469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r>
      <w:tr>
        <w:tblPrEx>
          <w:tblCellMar>
            <w:top w:w="0" w:type="dxa"/>
            <w:left w:w="108" w:type="dxa"/>
            <w:bottom w:w="0" w:type="dxa"/>
            <w:right w:w="108" w:type="dxa"/>
          </w:tblCellMar>
        </w:tblPrEx>
        <w:trPr>
          <w:trHeight w:val="922" w:hRule="atLeast"/>
          <w:jc w:val="center"/>
        </w:trPr>
        <w:tc>
          <w:tcPr>
            <w:tcW w:w="562" w:type="dxa"/>
            <w:vMerge w:val="restart"/>
            <w:tcBorders>
              <w:top w:val="nil"/>
              <w:left w:val="single" w:color="auto" w:sz="8" w:space="0"/>
              <w:right w:val="single" w:color="auto" w:sz="4" w:space="0"/>
            </w:tcBorders>
            <w:vAlign w:val="center"/>
          </w:tcPr>
          <w:p>
            <w:pPr>
              <w:widowControl/>
              <w:jc w:val="center"/>
              <w:rPr>
                <w:rFonts w:ascii="宋体" w:hAnsi="宋体"/>
                <w:b/>
                <w:bCs/>
                <w:kern w:val="0"/>
                <w:sz w:val="24"/>
                <w:szCs w:val="24"/>
              </w:rPr>
            </w:pPr>
            <w:r>
              <w:rPr>
                <w:rFonts w:ascii="宋体" w:hAnsi="宋体"/>
                <w:b/>
                <w:bCs/>
                <w:kern w:val="0"/>
                <w:sz w:val="24"/>
                <w:szCs w:val="24"/>
              </w:rPr>
              <w:t>近</w:t>
            </w:r>
          </w:p>
          <w:p>
            <w:pPr>
              <w:widowControl/>
              <w:jc w:val="center"/>
              <w:rPr>
                <w:rFonts w:ascii="宋体" w:hAnsi="宋体"/>
                <w:b/>
                <w:bCs/>
                <w:kern w:val="0"/>
                <w:sz w:val="24"/>
                <w:szCs w:val="24"/>
              </w:rPr>
            </w:pPr>
            <w:r>
              <w:rPr>
                <w:rFonts w:hint="eastAsia" w:ascii="宋体" w:hAnsi="宋体"/>
                <w:b/>
                <w:bCs/>
                <w:kern w:val="0"/>
                <w:sz w:val="24"/>
                <w:szCs w:val="24"/>
              </w:rPr>
              <w:t>3</w:t>
            </w:r>
            <w:r>
              <w:rPr>
                <w:rFonts w:ascii="宋体" w:hAnsi="宋体"/>
                <w:b/>
                <w:bCs/>
                <w:kern w:val="0"/>
                <w:sz w:val="24"/>
                <w:szCs w:val="24"/>
              </w:rPr>
              <w:t>年的    经营情况</w:t>
            </w:r>
          </w:p>
        </w:tc>
        <w:tc>
          <w:tcPr>
            <w:tcW w:w="3822" w:type="dxa"/>
            <w:tcBorders>
              <w:top w:val="single" w:color="auto" w:sz="4" w:space="0"/>
              <w:left w:val="nil"/>
              <w:bottom w:val="single" w:color="auto" w:sz="4" w:space="0"/>
              <w:right w:val="single" w:color="auto" w:sz="4" w:space="0"/>
            </w:tcBorders>
            <w:vAlign w:val="center"/>
          </w:tcPr>
          <w:p>
            <w:pPr>
              <w:widowControl/>
              <w:rPr>
                <w:rFonts w:ascii="宋体" w:hAnsi="宋体"/>
                <w:b/>
                <w:bCs/>
                <w:kern w:val="0"/>
                <w:sz w:val="24"/>
                <w:szCs w:val="24"/>
              </w:rPr>
            </w:pPr>
            <w:r>
              <w:rPr>
                <w:rFonts w:ascii="宋体" w:hAnsi="宋体"/>
                <w:b/>
                <w:bCs/>
                <w:kern w:val="0"/>
                <w:sz w:val="24"/>
                <w:szCs w:val="24"/>
              </w:rPr>
              <w:t>2020年业务收入(万元)</w:t>
            </w:r>
          </w:p>
        </w:tc>
        <w:tc>
          <w:tcPr>
            <w:tcW w:w="4692"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r>
      <w:tr>
        <w:tblPrEx>
          <w:tblCellMar>
            <w:top w:w="0" w:type="dxa"/>
            <w:left w:w="108" w:type="dxa"/>
            <w:bottom w:w="0" w:type="dxa"/>
            <w:right w:w="108" w:type="dxa"/>
          </w:tblCellMar>
        </w:tblPrEx>
        <w:trPr>
          <w:trHeight w:val="917" w:hRule="atLeast"/>
          <w:jc w:val="center"/>
        </w:trPr>
        <w:tc>
          <w:tcPr>
            <w:tcW w:w="562" w:type="dxa"/>
            <w:vMerge w:val="continue"/>
            <w:tcBorders>
              <w:left w:val="single" w:color="auto" w:sz="8" w:space="0"/>
              <w:right w:val="single" w:color="auto" w:sz="4" w:space="0"/>
            </w:tcBorders>
            <w:vAlign w:val="center"/>
          </w:tcPr>
          <w:p>
            <w:pPr>
              <w:widowControl/>
              <w:jc w:val="center"/>
              <w:rPr>
                <w:b/>
                <w:bCs/>
                <w:kern w:val="0"/>
                <w:szCs w:val="21"/>
              </w:rPr>
            </w:pPr>
          </w:p>
        </w:tc>
        <w:tc>
          <w:tcPr>
            <w:tcW w:w="3822" w:type="dxa"/>
            <w:tcBorders>
              <w:top w:val="single" w:color="auto" w:sz="4" w:space="0"/>
              <w:left w:val="nil"/>
              <w:bottom w:val="single" w:color="auto" w:sz="4" w:space="0"/>
              <w:right w:val="single" w:color="auto" w:sz="4" w:space="0"/>
            </w:tcBorders>
            <w:vAlign w:val="center"/>
          </w:tcPr>
          <w:p>
            <w:pPr>
              <w:widowControl/>
              <w:rPr>
                <w:rFonts w:ascii="宋体" w:hAnsi="宋体"/>
                <w:b/>
                <w:bCs/>
                <w:kern w:val="0"/>
                <w:sz w:val="24"/>
                <w:szCs w:val="24"/>
              </w:rPr>
            </w:pPr>
            <w:r>
              <w:rPr>
                <w:rFonts w:ascii="宋体" w:hAnsi="宋体"/>
                <w:b/>
                <w:bCs/>
                <w:kern w:val="0"/>
                <w:sz w:val="24"/>
                <w:szCs w:val="24"/>
              </w:rPr>
              <w:t>2019年业务收入(万元)</w:t>
            </w:r>
          </w:p>
        </w:tc>
        <w:tc>
          <w:tcPr>
            <w:tcW w:w="4692"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r>
      <w:tr>
        <w:tblPrEx>
          <w:tblCellMar>
            <w:top w:w="0" w:type="dxa"/>
            <w:left w:w="108" w:type="dxa"/>
            <w:bottom w:w="0" w:type="dxa"/>
            <w:right w:w="108" w:type="dxa"/>
          </w:tblCellMar>
        </w:tblPrEx>
        <w:trPr>
          <w:trHeight w:val="1098" w:hRule="atLeast"/>
          <w:jc w:val="center"/>
        </w:trPr>
        <w:tc>
          <w:tcPr>
            <w:tcW w:w="562" w:type="dxa"/>
            <w:vMerge w:val="continue"/>
            <w:tcBorders>
              <w:left w:val="single" w:color="auto" w:sz="8" w:space="0"/>
              <w:bottom w:val="single" w:color="000000" w:sz="8" w:space="0"/>
              <w:right w:val="single" w:color="auto" w:sz="4" w:space="0"/>
            </w:tcBorders>
            <w:vAlign w:val="center"/>
          </w:tcPr>
          <w:p>
            <w:pPr>
              <w:widowControl/>
              <w:jc w:val="center"/>
              <w:rPr>
                <w:b/>
                <w:bCs/>
                <w:kern w:val="0"/>
                <w:szCs w:val="21"/>
              </w:rPr>
            </w:pPr>
          </w:p>
        </w:tc>
        <w:tc>
          <w:tcPr>
            <w:tcW w:w="3822" w:type="dxa"/>
            <w:tcBorders>
              <w:top w:val="single" w:color="auto" w:sz="4" w:space="0"/>
              <w:left w:val="nil"/>
              <w:bottom w:val="single" w:color="auto" w:sz="4" w:space="0"/>
              <w:right w:val="single" w:color="auto" w:sz="4" w:space="0"/>
            </w:tcBorders>
            <w:vAlign w:val="center"/>
          </w:tcPr>
          <w:p>
            <w:pPr>
              <w:widowControl/>
              <w:rPr>
                <w:rFonts w:ascii="宋体" w:hAnsi="宋体"/>
                <w:b/>
                <w:bCs/>
                <w:kern w:val="0"/>
                <w:sz w:val="24"/>
                <w:szCs w:val="24"/>
              </w:rPr>
            </w:pPr>
            <w:r>
              <w:rPr>
                <w:rFonts w:hint="eastAsia" w:ascii="宋体" w:hAnsi="宋体"/>
                <w:b/>
                <w:bCs/>
                <w:kern w:val="0"/>
                <w:sz w:val="24"/>
                <w:szCs w:val="24"/>
              </w:rPr>
              <w:t>201</w:t>
            </w:r>
            <w:r>
              <w:rPr>
                <w:rFonts w:ascii="宋体" w:hAnsi="宋体"/>
                <w:b/>
                <w:bCs/>
                <w:kern w:val="0"/>
                <w:sz w:val="24"/>
                <w:szCs w:val="24"/>
              </w:rPr>
              <w:t>8</w:t>
            </w:r>
            <w:r>
              <w:rPr>
                <w:rFonts w:hint="eastAsia" w:ascii="宋体" w:hAnsi="宋体"/>
                <w:b/>
                <w:bCs/>
                <w:kern w:val="0"/>
                <w:sz w:val="24"/>
                <w:szCs w:val="24"/>
              </w:rPr>
              <w:t>年业务收入（万元）</w:t>
            </w:r>
          </w:p>
        </w:tc>
        <w:tc>
          <w:tcPr>
            <w:tcW w:w="4692"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r>
    </w:tbl>
    <w:p>
      <w:pPr>
        <w:rPr>
          <w:rFonts w:ascii="宋体" w:hAnsi="宋体"/>
          <w:b/>
          <w:sz w:val="24"/>
          <w:szCs w:val="24"/>
        </w:rPr>
      </w:pPr>
    </w:p>
    <w:p>
      <w:pPr>
        <w:rPr>
          <w:rFonts w:ascii="宋体" w:hAnsi="宋体"/>
          <w:b/>
          <w:sz w:val="24"/>
          <w:szCs w:val="24"/>
        </w:rPr>
      </w:pPr>
      <w:r>
        <w:rPr>
          <w:rFonts w:hint="eastAsia" w:ascii="宋体" w:hAnsi="宋体"/>
          <w:b/>
          <w:sz w:val="24"/>
          <w:szCs w:val="24"/>
        </w:rPr>
        <w:t>2提供企业法人营业执照、税务登记证、组织机构代码证三证合一证年（复印件）</w:t>
      </w:r>
    </w:p>
    <w:p>
      <w:pPr>
        <w:rPr>
          <w:rFonts w:ascii="宋体" w:hAnsi="宋体"/>
          <w:b/>
          <w:sz w:val="24"/>
          <w:szCs w:val="24"/>
        </w:rPr>
      </w:pPr>
      <w:r>
        <w:rPr>
          <w:rFonts w:hint="eastAsia" w:ascii="宋体" w:hAnsi="宋体"/>
          <w:b/>
          <w:sz w:val="24"/>
          <w:szCs w:val="24"/>
        </w:rPr>
        <w:t>3提供近三年财务审计报告（复印件加盖公章）</w:t>
      </w:r>
    </w:p>
    <w:p>
      <w:pPr>
        <w:rPr>
          <w:rFonts w:ascii="宋体" w:hAnsi="宋体"/>
          <w:b/>
          <w:sz w:val="24"/>
          <w:szCs w:val="24"/>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rPr>
          <w:rFonts w:ascii="宋体" w:hAnsi="宋体"/>
          <w:szCs w:val="21"/>
          <w:u w:val="single"/>
        </w:rPr>
      </w:pPr>
    </w:p>
    <w:p>
      <w:pPr>
        <w:pStyle w:val="3"/>
      </w:pPr>
      <w:bookmarkStart w:id="64" w:name="_Toc21725"/>
      <w:r>
        <w:rPr>
          <w:rFonts w:hint="eastAsia"/>
        </w:rPr>
        <w:t>格式</w:t>
      </w:r>
      <w:bookmarkEnd w:id="64"/>
      <w:r>
        <w:rPr>
          <w:rFonts w:hint="eastAsia"/>
        </w:rPr>
        <w:t xml:space="preserve">7 </w:t>
      </w:r>
    </w:p>
    <w:p>
      <w:pPr>
        <w:spacing w:line="360" w:lineRule="auto"/>
        <w:jc w:val="center"/>
        <w:rPr>
          <w:rFonts w:ascii="宋体" w:hAnsi="宋体"/>
          <w:b/>
          <w:sz w:val="24"/>
          <w:szCs w:val="24"/>
        </w:rPr>
      </w:pPr>
      <w:r>
        <w:rPr>
          <w:rFonts w:hint="eastAsia" w:ascii="宋体" w:hAnsi="宋体"/>
          <w:sz w:val="32"/>
          <w:szCs w:val="32"/>
        </w:rPr>
        <w:t>服务承诺</w:t>
      </w:r>
    </w:p>
    <w:p>
      <w:pPr>
        <w:spacing w:line="360" w:lineRule="auto"/>
        <w:jc w:val="center"/>
        <w:rPr>
          <w:rFonts w:ascii="宋体" w:hAnsi="宋体"/>
          <w:sz w:val="24"/>
          <w:szCs w:val="24"/>
        </w:rPr>
      </w:pPr>
      <w:r>
        <w:rPr>
          <w:rFonts w:hint="eastAsia" w:ascii="宋体" w:hAnsi="宋体"/>
          <w:sz w:val="24"/>
          <w:szCs w:val="24"/>
        </w:rPr>
        <w:t>（格式报价人自拟）</w:t>
      </w: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tabs>
          <w:tab w:val="left" w:pos="720"/>
        </w:tabs>
        <w:autoSpaceDE w:val="0"/>
        <w:autoSpaceDN w:val="0"/>
        <w:adjustRightInd w:val="0"/>
        <w:spacing w:line="360" w:lineRule="auto"/>
        <w:ind w:right="17"/>
        <w:jc w:val="left"/>
        <w:rPr>
          <w:rFonts w:ascii="宋体" w:hAnsi="宋体"/>
          <w:b/>
          <w:sz w:val="24"/>
          <w:szCs w:val="24"/>
        </w:rPr>
      </w:pPr>
    </w:p>
    <w:p>
      <w:pPr>
        <w:tabs>
          <w:tab w:val="left" w:pos="720"/>
        </w:tabs>
        <w:autoSpaceDE w:val="0"/>
        <w:autoSpaceDN w:val="0"/>
        <w:adjustRightInd w:val="0"/>
        <w:spacing w:line="360" w:lineRule="auto"/>
        <w:ind w:right="17"/>
        <w:jc w:val="left"/>
        <w:rPr>
          <w:rFonts w:ascii="宋体" w:hAnsi="宋体"/>
          <w:b/>
          <w:sz w:val="24"/>
          <w:szCs w:val="24"/>
        </w:rPr>
      </w:pPr>
    </w:p>
    <w:p>
      <w:pPr>
        <w:tabs>
          <w:tab w:val="left" w:pos="720"/>
        </w:tabs>
        <w:autoSpaceDE w:val="0"/>
        <w:autoSpaceDN w:val="0"/>
        <w:adjustRightInd w:val="0"/>
        <w:spacing w:line="360" w:lineRule="auto"/>
        <w:ind w:right="17"/>
        <w:jc w:val="left"/>
        <w:rPr>
          <w:rFonts w:ascii="宋体" w:hAnsi="宋体"/>
          <w:b/>
          <w:sz w:val="24"/>
          <w:szCs w:val="24"/>
        </w:rPr>
      </w:pPr>
    </w:p>
    <w:p>
      <w:pPr>
        <w:tabs>
          <w:tab w:val="left" w:pos="720"/>
        </w:tabs>
        <w:autoSpaceDE w:val="0"/>
        <w:autoSpaceDN w:val="0"/>
        <w:adjustRightInd w:val="0"/>
        <w:spacing w:line="360" w:lineRule="auto"/>
        <w:ind w:right="17"/>
        <w:jc w:val="left"/>
        <w:rPr>
          <w:rFonts w:ascii="宋体" w:hAnsi="宋体"/>
          <w:b/>
          <w:sz w:val="24"/>
          <w:szCs w:val="24"/>
        </w:rPr>
      </w:pPr>
    </w:p>
    <w:p>
      <w:pPr>
        <w:pStyle w:val="3"/>
      </w:pPr>
      <w:bookmarkStart w:id="65" w:name="_Toc2711"/>
      <w:r>
        <w:rPr>
          <w:rFonts w:hint="eastAsia"/>
        </w:rPr>
        <w:t>格式</w:t>
      </w:r>
      <w:bookmarkEnd w:id="65"/>
      <w:r>
        <w:rPr>
          <w:rFonts w:hint="eastAsia"/>
        </w:rPr>
        <w:t>8</w:t>
      </w:r>
    </w:p>
    <w:p>
      <w:pPr>
        <w:spacing w:line="360" w:lineRule="auto"/>
        <w:rPr>
          <w:rFonts w:ascii="宋体" w:hAnsi="宋体"/>
          <w:szCs w:val="21"/>
        </w:rPr>
      </w:pPr>
    </w:p>
    <w:p>
      <w:pPr>
        <w:spacing w:line="360" w:lineRule="auto"/>
        <w:jc w:val="center"/>
        <w:rPr>
          <w:rFonts w:ascii="宋体" w:hAnsi="宋体"/>
          <w:b/>
          <w:sz w:val="24"/>
          <w:szCs w:val="24"/>
        </w:rPr>
      </w:pPr>
      <w:r>
        <w:rPr>
          <w:rFonts w:hint="eastAsia" w:ascii="宋体" w:hAnsi="宋体"/>
          <w:b/>
          <w:sz w:val="24"/>
          <w:szCs w:val="24"/>
        </w:rPr>
        <w:t>近三年国内相关业绩表（合同复印件加盖公章）</w:t>
      </w:r>
    </w:p>
    <w:p>
      <w:pPr>
        <w:spacing w:line="360" w:lineRule="auto"/>
        <w:jc w:val="center"/>
        <w:rPr>
          <w:rFonts w:ascii="宋体" w:hAnsi="宋体"/>
          <w:b/>
          <w:sz w:val="24"/>
          <w:szCs w:val="24"/>
        </w:rPr>
      </w:pPr>
    </w:p>
    <w:tbl>
      <w:tblPr>
        <w:tblStyle w:val="18"/>
        <w:tblW w:w="990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21" w:type="dxa"/>
            <w:vAlign w:val="center"/>
          </w:tcPr>
          <w:p>
            <w:pPr>
              <w:spacing w:line="360" w:lineRule="auto"/>
              <w:jc w:val="center"/>
              <w:rPr>
                <w:rFonts w:ascii="宋体" w:hAnsi="宋体"/>
                <w:sz w:val="24"/>
                <w:szCs w:val="24"/>
              </w:rPr>
            </w:pPr>
            <w:r>
              <w:rPr>
                <w:rFonts w:hint="eastAsia" w:ascii="宋体" w:hAnsi="宋体"/>
                <w:sz w:val="24"/>
                <w:szCs w:val="24"/>
              </w:rPr>
              <w:t>序号</w:t>
            </w:r>
          </w:p>
        </w:tc>
        <w:tc>
          <w:tcPr>
            <w:tcW w:w="1979" w:type="dxa"/>
            <w:vAlign w:val="center"/>
          </w:tcPr>
          <w:p>
            <w:pPr>
              <w:spacing w:line="360" w:lineRule="auto"/>
              <w:jc w:val="center"/>
              <w:rPr>
                <w:rFonts w:ascii="宋体" w:hAnsi="宋体"/>
                <w:sz w:val="24"/>
                <w:szCs w:val="24"/>
              </w:rPr>
            </w:pPr>
            <w:r>
              <w:rPr>
                <w:rFonts w:hint="eastAsia" w:ascii="宋体" w:hAnsi="宋体"/>
                <w:sz w:val="24"/>
                <w:szCs w:val="24"/>
              </w:rPr>
              <w:t>业主名称</w:t>
            </w:r>
          </w:p>
        </w:tc>
        <w:tc>
          <w:tcPr>
            <w:tcW w:w="1980" w:type="dxa"/>
            <w:vAlign w:val="center"/>
          </w:tcPr>
          <w:p>
            <w:pPr>
              <w:spacing w:line="360" w:lineRule="auto"/>
              <w:jc w:val="center"/>
              <w:rPr>
                <w:rFonts w:ascii="宋体" w:hAnsi="宋体"/>
                <w:sz w:val="24"/>
                <w:szCs w:val="24"/>
              </w:rPr>
            </w:pPr>
            <w:r>
              <w:rPr>
                <w:rFonts w:hint="eastAsia" w:ascii="宋体" w:hAnsi="宋体"/>
                <w:sz w:val="24"/>
                <w:szCs w:val="24"/>
              </w:rPr>
              <w:t>项目名称</w:t>
            </w:r>
          </w:p>
        </w:tc>
        <w:tc>
          <w:tcPr>
            <w:tcW w:w="1262" w:type="dxa"/>
            <w:vAlign w:val="center"/>
          </w:tcPr>
          <w:p>
            <w:pPr>
              <w:spacing w:line="360" w:lineRule="auto"/>
              <w:jc w:val="center"/>
              <w:rPr>
                <w:rFonts w:ascii="宋体" w:hAnsi="宋体"/>
                <w:sz w:val="24"/>
                <w:szCs w:val="24"/>
              </w:rPr>
            </w:pPr>
            <w:r>
              <w:rPr>
                <w:rFonts w:hint="eastAsia" w:ascii="宋体" w:hAnsi="宋体"/>
                <w:sz w:val="24"/>
                <w:szCs w:val="24"/>
              </w:rPr>
              <w:t>联系人</w:t>
            </w:r>
          </w:p>
        </w:tc>
        <w:tc>
          <w:tcPr>
            <w:tcW w:w="1262" w:type="dxa"/>
            <w:vAlign w:val="center"/>
          </w:tcPr>
          <w:p>
            <w:pPr>
              <w:spacing w:line="360" w:lineRule="auto"/>
              <w:jc w:val="center"/>
              <w:rPr>
                <w:rFonts w:ascii="宋体" w:hAnsi="宋体"/>
                <w:sz w:val="24"/>
                <w:szCs w:val="24"/>
              </w:rPr>
            </w:pPr>
            <w:r>
              <w:rPr>
                <w:rFonts w:hint="eastAsia" w:ascii="宋体" w:hAnsi="宋体"/>
                <w:sz w:val="24"/>
                <w:szCs w:val="24"/>
              </w:rPr>
              <w:t>联系方式</w:t>
            </w:r>
          </w:p>
        </w:tc>
        <w:tc>
          <w:tcPr>
            <w:tcW w:w="1262" w:type="dxa"/>
            <w:vAlign w:val="center"/>
          </w:tcPr>
          <w:p>
            <w:pPr>
              <w:spacing w:line="360" w:lineRule="auto"/>
              <w:jc w:val="center"/>
              <w:rPr>
                <w:rFonts w:ascii="宋体" w:hAnsi="宋体"/>
                <w:sz w:val="24"/>
                <w:szCs w:val="24"/>
              </w:rPr>
            </w:pPr>
            <w:r>
              <w:rPr>
                <w:rFonts w:hint="eastAsia" w:ascii="宋体" w:hAnsi="宋体"/>
                <w:sz w:val="24"/>
                <w:szCs w:val="24"/>
              </w:rPr>
              <w:t>完成情况</w:t>
            </w:r>
          </w:p>
        </w:tc>
        <w:tc>
          <w:tcPr>
            <w:tcW w:w="1442" w:type="dxa"/>
            <w:vAlign w:val="center"/>
          </w:tcPr>
          <w:p>
            <w:pPr>
              <w:spacing w:line="360" w:lineRule="auto"/>
              <w:jc w:val="center"/>
              <w:rPr>
                <w:rFonts w:ascii="宋体" w:hAnsi="宋体"/>
                <w:sz w:val="24"/>
                <w:szCs w:val="24"/>
              </w:rPr>
            </w:pPr>
            <w:r>
              <w:rPr>
                <w:rFonts w:hint="eastAsia" w:ascii="宋体" w:hAnsi="宋体"/>
                <w:sz w:val="24"/>
                <w:szCs w:val="24"/>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1" w:type="dxa"/>
          </w:tcPr>
          <w:p>
            <w:pPr>
              <w:spacing w:line="360" w:lineRule="auto"/>
              <w:jc w:val="center"/>
              <w:rPr>
                <w:rFonts w:ascii="宋体" w:hAnsi="宋体"/>
                <w:sz w:val="24"/>
                <w:szCs w:val="24"/>
              </w:rPr>
            </w:pPr>
          </w:p>
        </w:tc>
        <w:tc>
          <w:tcPr>
            <w:tcW w:w="1979" w:type="dxa"/>
          </w:tcPr>
          <w:p>
            <w:pPr>
              <w:spacing w:line="360" w:lineRule="auto"/>
              <w:jc w:val="center"/>
              <w:rPr>
                <w:rFonts w:ascii="宋体" w:hAnsi="宋体"/>
                <w:sz w:val="24"/>
                <w:szCs w:val="24"/>
              </w:rPr>
            </w:pPr>
          </w:p>
        </w:tc>
        <w:tc>
          <w:tcPr>
            <w:tcW w:w="1980"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442"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1" w:type="dxa"/>
          </w:tcPr>
          <w:p>
            <w:pPr>
              <w:spacing w:line="360" w:lineRule="auto"/>
              <w:jc w:val="center"/>
              <w:rPr>
                <w:rFonts w:ascii="宋体" w:hAnsi="宋体"/>
                <w:sz w:val="24"/>
                <w:szCs w:val="24"/>
              </w:rPr>
            </w:pPr>
          </w:p>
        </w:tc>
        <w:tc>
          <w:tcPr>
            <w:tcW w:w="1979" w:type="dxa"/>
          </w:tcPr>
          <w:p>
            <w:pPr>
              <w:spacing w:line="360" w:lineRule="auto"/>
              <w:jc w:val="center"/>
              <w:rPr>
                <w:rFonts w:ascii="宋体" w:hAnsi="宋体"/>
                <w:sz w:val="24"/>
                <w:szCs w:val="24"/>
              </w:rPr>
            </w:pPr>
          </w:p>
        </w:tc>
        <w:tc>
          <w:tcPr>
            <w:tcW w:w="1980"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442"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1" w:type="dxa"/>
          </w:tcPr>
          <w:p>
            <w:pPr>
              <w:spacing w:line="360" w:lineRule="auto"/>
              <w:jc w:val="center"/>
              <w:rPr>
                <w:rFonts w:ascii="宋体" w:hAnsi="宋体"/>
                <w:sz w:val="24"/>
                <w:szCs w:val="24"/>
              </w:rPr>
            </w:pPr>
          </w:p>
        </w:tc>
        <w:tc>
          <w:tcPr>
            <w:tcW w:w="1979" w:type="dxa"/>
          </w:tcPr>
          <w:p>
            <w:pPr>
              <w:spacing w:line="360" w:lineRule="auto"/>
              <w:jc w:val="center"/>
              <w:rPr>
                <w:rFonts w:ascii="宋体" w:hAnsi="宋体"/>
                <w:sz w:val="24"/>
                <w:szCs w:val="24"/>
              </w:rPr>
            </w:pPr>
          </w:p>
        </w:tc>
        <w:tc>
          <w:tcPr>
            <w:tcW w:w="1980"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442"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1" w:type="dxa"/>
          </w:tcPr>
          <w:p>
            <w:pPr>
              <w:spacing w:line="360" w:lineRule="auto"/>
              <w:jc w:val="center"/>
              <w:rPr>
                <w:rFonts w:ascii="宋体" w:hAnsi="宋体"/>
                <w:sz w:val="24"/>
                <w:szCs w:val="24"/>
              </w:rPr>
            </w:pPr>
          </w:p>
        </w:tc>
        <w:tc>
          <w:tcPr>
            <w:tcW w:w="1979" w:type="dxa"/>
          </w:tcPr>
          <w:p>
            <w:pPr>
              <w:spacing w:line="360" w:lineRule="auto"/>
              <w:jc w:val="center"/>
              <w:rPr>
                <w:rFonts w:ascii="宋体" w:hAnsi="宋体"/>
                <w:sz w:val="24"/>
                <w:szCs w:val="24"/>
              </w:rPr>
            </w:pPr>
          </w:p>
        </w:tc>
        <w:tc>
          <w:tcPr>
            <w:tcW w:w="1980"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442"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1" w:type="dxa"/>
          </w:tcPr>
          <w:p>
            <w:pPr>
              <w:spacing w:line="360" w:lineRule="auto"/>
              <w:jc w:val="center"/>
              <w:rPr>
                <w:rFonts w:ascii="宋体" w:hAnsi="宋体"/>
                <w:sz w:val="24"/>
                <w:szCs w:val="24"/>
              </w:rPr>
            </w:pPr>
          </w:p>
        </w:tc>
        <w:tc>
          <w:tcPr>
            <w:tcW w:w="1979" w:type="dxa"/>
          </w:tcPr>
          <w:p>
            <w:pPr>
              <w:spacing w:line="360" w:lineRule="auto"/>
              <w:jc w:val="center"/>
              <w:rPr>
                <w:rFonts w:ascii="宋体" w:hAnsi="宋体"/>
                <w:sz w:val="24"/>
                <w:szCs w:val="24"/>
              </w:rPr>
            </w:pPr>
          </w:p>
        </w:tc>
        <w:tc>
          <w:tcPr>
            <w:tcW w:w="1980"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262" w:type="dxa"/>
          </w:tcPr>
          <w:p>
            <w:pPr>
              <w:spacing w:line="360" w:lineRule="auto"/>
              <w:jc w:val="center"/>
              <w:rPr>
                <w:rFonts w:ascii="宋体" w:hAnsi="宋体"/>
                <w:sz w:val="24"/>
                <w:szCs w:val="24"/>
              </w:rPr>
            </w:pPr>
          </w:p>
        </w:tc>
        <w:tc>
          <w:tcPr>
            <w:tcW w:w="1442" w:type="dxa"/>
          </w:tcPr>
          <w:p>
            <w:pPr>
              <w:spacing w:line="360" w:lineRule="auto"/>
              <w:jc w:val="center"/>
              <w:rPr>
                <w:rFonts w:ascii="宋体" w:hAnsi="宋体"/>
                <w:sz w:val="24"/>
                <w:szCs w:val="24"/>
              </w:rPr>
            </w:pPr>
          </w:p>
        </w:tc>
      </w:tr>
    </w:tbl>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注：1、报价人必须提供能够证明上述案例真实性的合同复印件，合同复印件中必须至少包括合同的甲乙双方，合同详细标的和双方签章及生效时间；</w:t>
      </w:r>
    </w:p>
    <w:p>
      <w:pPr>
        <w:spacing w:line="360" w:lineRule="auto"/>
        <w:rPr>
          <w:rFonts w:ascii="宋体" w:hAnsi="宋体"/>
          <w:sz w:val="24"/>
          <w:szCs w:val="24"/>
        </w:rPr>
      </w:pPr>
      <w:r>
        <w:rPr>
          <w:rFonts w:ascii="宋体" w:hAnsi="宋体"/>
          <w:sz w:val="24"/>
          <w:szCs w:val="24"/>
        </w:rPr>
        <w:t>2</w:t>
      </w:r>
      <w:r>
        <w:rPr>
          <w:rFonts w:hint="eastAsia" w:ascii="宋体" w:hAnsi="宋体"/>
          <w:sz w:val="24"/>
          <w:szCs w:val="24"/>
        </w:rPr>
        <w:t>、所有复印件应清晰，并由报价人单位加盖公章；</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、不提供复印件的业绩，评分阶段不予以考虑。</w:t>
      </w:r>
    </w:p>
    <w:p>
      <w:pPr>
        <w:spacing w:line="360" w:lineRule="auto"/>
        <w:rPr>
          <w:rFonts w:ascii="宋体" w:hAnsi="宋体"/>
          <w:sz w:val="24"/>
          <w:szCs w:val="24"/>
        </w:rPr>
      </w:pPr>
    </w:p>
    <w:p>
      <w:pPr>
        <w:spacing w:line="360" w:lineRule="auto"/>
        <w:rPr>
          <w:sz w:val="24"/>
          <w:szCs w:val="24"/>
        </w:rPr>
      </w:pPr>
      <w:r>
        <w:rPr>
          <w:rFonts w:hint="eastAsia"/>
          <w:sz w:val="24"/>
          <w:szCs w:val="24"/>
        </w:rPr>
        <w:t>被授权人签字：</w:t>
      </w:r>
      <w:r>
        <w:rPr>
          <w:rFonts w:hint="eastAsia"/>
          <w:sz w:val="24"/>
          <w:szCs w:val="24"/>
          <w:u w:val="single"/>
        </w:rPr>
        <w:t xml:space="preserve">                              </w:t>
      </w:r>
      <w:bookmarkStart w:id="66" w:name="_Toc153353724"/>
      <w:bookmarkStart w:id="67" w:name="_Toc155772038"/>
      <w:bookmarkStart w:id="68" w:name="_Toc193858802"/>
      <w:bookmarkStart w:id="69" w:name="_Toc146011788"/>
      <w:bookmarkStart w:id="70" w:name="_Toc153356465"/>
      <w:bookmarkStart w:id="71" w:name="_Toc155772938"/>
      <w:bookmarkStart w:id="72" w:name="_Toc195427238"/>
    </w:p>
    <w:p>
      <w:pPr>
        <w:spacing w:line="360" w:lineRule="auto"/>
        <w:ind w:firstLine="435"/>
        <w:rPr>
          <w:rFonts w:ascii="宋体" w:hAnsi="宋体"/>
          <w:sz w:val="24"/>
          <w:szCs w:val="24"/>
          <w:u w:val="single"/>
        </w:rPr>
      </w:pPr>
    </w:p>
    <w:p>
      <w:pPr>
        <w:spacing w:line="360" w:lineRule="auto"/>
        <w:rPr>
          <w:rFonts w:ascii="宋体" w:hAnsi="宋体"/>
          <w:sz w:val="24"/>
          <w:szCs w:val="24"/>
          <w:u w:val="single"/>
        </w:rPr>
      </w:pPr>
      <w:r>
        <w:rPr>
          <w:rFonts w:hint="eastAsia" w:ascii="宋体" w:hAnsi="宋体"/>
          <w:sz w:val="24"/>
          <w:szCs w:val="24"/>
        </w:rPr>
        <w:t>报价人名称（公章）：</w:t>
      </w:r>
      <w:r>
        <w:rPr>
          <w:rFonts w:hint="eastAsia" w:ascii="宋体" w:hAnsi="宋体"/>
          <w:sz w:val="24"/>
          <w:szCs w:val="24"/>
          <w:u w:val="single"/>
        </w:rPr>
        <w:t xml:space="preserve">                         </w:t>
      </w:r>
    </w:p>
    <w:p>
      <w:pPr>
        <w:spacing w:line="360" w:lineRule="auto"/>
        <w:rPr>
          <w:rFonts w:ascii="宋体" w:hAnsi="宋体"/>
          <w:sz w:val="24"/>
          <w:szCs w:val="24"/>
          <w:u w:val="single"/>
        </w:rPr>
      </w:pPr>
    </w:p>
    <w:p>
      <w:pPr>
        <w:pStyle w:val="3"/>
      </w:pPr>
      <w:r>
        <w:rPr>
          <w:rFonts w:hint="eastAsia"/>
        </w:rPr>
        <w:t>格式</w:t>
      </w:r>
      <w:r>
        <w:t>9</w:t>
      </w:r>
      <w:r>
        <w:rPr>
          <w:rFonts w:hint="eastAsia"/>
        </w:rPr>
        <w:t xml:space="preserve"> </w:t>
      </w:r>
    </w:p>
    <w:p>
      <w:pPr>
        <w:spacing w:line="360" w:lineRule="auto"/>
        <w:jc w:val="center"/>
        <w:rPr>
          <w:rFonts w:ascii="宋体" w:hAnsi="宋体"/>
          <w:sz w:val="32"/>
          <w:szCs w:val="32"/>
        </w:rPr>
      </w:pPr>
      <w:r>
        <w:rPr>
          <w:rFonts w:hint="eastAsia" w:ascii="宋体" w:hAnsi="宋体"/>
          <w:sz w:val="32"/>
          <w:szCs w:val="32"/>
        </w:rPr>
        <w:t>客户满意度证明</w:t>
      </w:r>
    </w:p>
    <w:p>
      <w:pPr>
        <w:spacing w:line="360" w:lineRule="auto"/>
        <w:jc w:val="center"/>
        <w:rPr>
          <w:rFonts w:ascii="宋体" w:hAnsi="宋体"/>
          <w:sz w:val="24"/>
          <w:szCs w:val="24"/>
        </w:rPr>
      </w:pPr>
      <w:r>
        <w:rPr>
          <w:rFonts w:hint="eastAsia" w:ascii="宋体" w:hAnsi="宋体"/>
          <w:sz w:val="24"/>
          <w:szCs w:val="24"/>
        </w:rPr>
        <w:t>（无固定格式）</w:t>
      </w: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spacing w:line="360" w:lineRule="auto"/>
        <w:rPr>
          <w:rFonts w:ascii="宋体" w:hAnsi="宋体"/>
          <w:sz w:val="24"/>
          <w:szCs w:val="24"/>
          <w:u w:val="single"/>
        </w:rPr>
      </w:pPr>
    </w:p>
    <w:p>
      <w:pPr>
        <w:pStyle w:val="3"/>
      </w:pPr>
      <w:r>
        <w:rPr>
          <w:rFonts w:hint="eastAsia"/>
        </w:rPr>
        <w:t>格式</w:t>
      </w:r>
      <w:r>
        <w:t>10</w:t>
      </w:r>
      <w:r>
        <w:rPr>
          <w:rFonts w:hint="eastAsia"/>
        </w:rPr>
        <w:t xml:space="preserve"> </w:t>
      </w:r>
    </w:p>
    <w:p>
      <w:pPr>
        <w:spacing w:line="360" w:lineRule="auto"/>
        <w:jc w:val="center"/>
        <w:rPr>
          <w:rFonts w:ascii="宋体" w:hAnsi="宋体"/>
          <w:sz w:val="32"/>
          <w:szCs w:val="32"/>
        </w:rPr>
      </w:pPr>
      <w:r>
        <w:rPr>
          <w:rFonts w:hint="eastAsia" w:ascii="宋体" w:hAnsi="宋体"/>
          <w:sz w:val="32"/>
          <w:szCs w:val="32"/>
        </w:rPr>
        <w:t>无产品质量投诉证明</w:t>
      </w:r>
    </w:p>
    <w:p>
      <w:pPr>
        <w:spacing w:line="360" w:lineRule="auto"/>
        <w:jc w:val="center"/>
        <w:rPr>
          <w:rFonts w:ascii="宋体" w:hAnsi="宋体"/>
          <w:sz w:val="24"/>
          <w:szCs w:val="24"/>
        </w:rPr>
      </w:pPr>
      <w:r>
        <w:rPr>
          <w:rFonts w:hint="eastAsia" w:ascii="宋体" w:hAnsi="宋体"/>
          <w:sz w:val="24"/>
          <w:szCs w:val="24"/>
        </w:rPr>
        <w:t>（无固定格式）</w:t>
      </w:r>
    </w:p>
    <w:p>
      <w:pPr>
        <w:spacing w:line="360" w:lineRule="auto"/>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spacing w:line="360" w:lineRule="auto"/>
        <w:ind w:firstLine="435"/>
        <w:rPr>
          <w:rFonts w:ascii="宋体" w:hAnsi="宋体"/>
          <w:sz w:val="24"/>
          <w:szCs w:val="24"/>
          <w:u w:val="single"/>
        </w:rPr>
      </w:pPr>
    </w:p>
    <w:p>
      <w:pPr>
        <w:pStyle w:val="3"/>
      </w:pPr>
      <w:bookmarkStart w:id="73" w:name="_Toc10329"/>
      <w:bookmarkStart w:id="74" w:name="_Toc413743626"/>
      <w:bookmarkStart w:id="75" w:name="_Toc413743680"/>
      <w:bookmarkStart w:id="76" w:name="_Toc423941937"/>
      <w:bookmarkStart w:id="77" w:name="_Toc243680619"/>
      <w:bookmarkStart w:id="78" w:name="_Toc245740661"/>
      <w:bookmarkStart w:id="79" w:name="_Toc243946212"/>
      <w:r>
        <w:rPr>
          <w:rFonts w:hint="eastAsia"/>
        </w:rPr>
        <w:t>格式</w:t>
      </w:r>
      <w:bookmarkEnd w:id="73"/>
      <w:r>
        <w:t>11</w:t>
      </w:r>
    </w:p>
    <w:p>
      <w:pPr>
        <w:jc w:val="center"/>
        <w:rPr>
          <w:sz w:val="32"/>
          <w:szCs w:val="32"/>
        </w:rPr>
      </w:pPr>
      <w:r>
        <w:rPr>
          <w:rFonts w:hint="eastAsia"/>
          <w:sz w:val="32"/>
          <w:szCs w:val="32"/>
        </w:rPr>
        <w:t>技术</w:t>
      </w:r>
      <w:bookmarkEnd w:id="74"/>
      <w:bookmarkEnd w:id="75"/>
      <w:r>
        <w:rPr>
          <w:rFonts w:hint="eastAsia"/>
          <w:sz w:val="32"/>
          <w:szCs w:val="32"/>
        </w:rPr>
        <w:t>方案</w:t>
      </w:r>
      <w:bookmarkEnd w:id="76"/>
    </w:p>
    <w:p>
      <w:pPr>
        <w:spacing w:line="360" w:lineRule="auto"/>
        <w:ind w:firstLine="240" w:firstLineChars="100"/>
        <w:rPr>
          <w:rFonts w:ascii="宋体" w:hAnsi="宋体"/>
          <w:sz w:val="24"/>
          <w:szCs w:val="24"/>
        </w:rPr>
      </w:pPr>
      <w:r>
        <w:rPr>
          <w:rFonts w:hint="eastAsia" w:ascii="宋体" w:hAnsi="宋体"/>
          <w:sz w:val="24"/>
          <w:szCs w:val="24"/>
        </w:rPr>
        <w:t>服务技术建议书内容包括：</w:t>
      </w:r>
    </w:p>
    <w:p>
      <w:pPr>
        <w:numPr>
          <w:ilvl w:val="0"/>
          <w:numId w:val="1"/>
        </w:numPr>
        <w:spacing w:line="360" w:lineRule="auto"/>
        <w:rPr>
          <w:rFonts w:ascii="宋体" w:hAnsi="宋体"/>
          <w:sz w:val="24"/>
          <w:szCs w:val="24"/>
        </w:rPr>
      </w:pPr>
      <w:r>
        <w:rPr>
          <w:rFonts w:hint="eastAsia" w:ascii="宋体" w:hAnsi="宋体"/>
          <w:sz w:val="24"/>
          <w:szCs w:val="24"/>
        </w:rPr>
        <w:t>报价人实力介绍。包括企业历史，企业资源（资质、人力、设备、财务），以往业绩，企业信誉等</w:t>
      </w:r>
    </w:p>
    <w:p>
      <w:pPr>
        <w:numPr>
          <w:ilvl w:val="0"/>
          <w:numId w:val="1"/>
        </w:numPr>
        <w:spacing w:line="360" w:lineRule="auto"/>
        <w:rPr>
          <w:rFonts w:ascii="宋体" w:hAnsi="宋体"/>
          <w:sz w:val="24"/>
          <w:szCs w:val="24"/>
        </w:rPr>
      </w:pPr>
      <w:r>
        <w:rPr>
          <w:rFonts w:hint="eastAsia" w:ascii="宋体" w:hAnsi="宋体"/>
          <w:sz w:val="24"/>
          <w:szCs w:val="24"/>
        </w:rPr>
        <w:t>技术方案和组织方案：包括对项目概况与特征的理解，工作范围，工作标准与技术要求，工作的重点与难点分析，完成任务的方法、途径和步骤等。</w:t>
      </w:r>
    </w:p>
    <w:p>
      <w:pPr>
        <w:numPr>
          <w:ilvl w:val="0"/>
          <w:numId w:val="1"/>
        </w:numPr>
        <w:spacing w:line="360" w:lineRule="auto"/>
        <w:rPr>
          <w:rFonts w:ascii="宋体" w:hAnsi="宋体"/>
          <w:sz w:val="24"/>
          <w:szCs w:val="24"/>
        </w:rPr>
      </w:pPr>
      <w:r>
        <w:rPr>
          <w:rFonts w:hint="eastAsia" w:ascii="宋体" w:hAnsi="宋体"/>
          <w:sz w:val="24"/>
          <w:szCs w:val="24"/>
        </w:rPr>
        <w:t>实施方案和配置方案：包括人员输出方式与工作周期分解，进度计划，管理机构设置与人员安排，相关设施设备配备，质量保证体系与措施，进度保证措施，其他应说明的事项等。</w:t>
      </w:r>
    </w:p>
    <w:bookmarkEnd w:id="66"/>
    <w:bookmarkEnd w:id="67"/>
    <w:bookmarkEnd w:id="68"/>
    <w:bookmarkEnd w:id="69"/>
    <w:bookmarkEnd w:id="70"/>
    <w:bookmarkEnd w:id="71"/>
    <w:bookmarkEnd w:id="72"/>
    <w:bookmarkEnd w:id="77"/>
    <w:bookmarkEnd w:id="78"/>
    <w:bookmarkEnd w:id="79"/>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spacing w:line="360" w:lineRule="auto"/>
        <w:jc w:val="left"/>
        <w:rPr>
          <w:rFonts w:ascii="宋体" w:hAnsi="宋体"/>
          <w:sz w:val="24"/>
          <w:lang w:val="zh-CN"/>
        </w:rPr>
      </w:pPr>
    </w:p>
    <w:p>
      <w:pPr>
        <w:pStyle w:val="2"/>
        <w:adjustRightInd w:val="0"/>
        <w:snapToGrid w:val="0"/>
        <w:spacing w:line="360" w:lineRule="auto"/>
        <w:jc w:val="center"/>
        <w:rPr>
          <w:rFonts w:ascii="宋体" w:hAnsi="宋体"/>
        </w:rPr>
      </w:pPr>
      <w:bookmarkStart w:id="80" w:name="_Toc27118"/>
      <w:r>
        <w:rPr>
          <w:rFonts w:hint="eastAsia" w:ascii="宋体" w:hAnsi="宋体"/>
        </w:rPr>
        <w:t>第六章</w:t>
      </w:r>
      <w:r>
        <w:rPr>
          <w:rFonts w:hint="eastAsia" w:ascii="宋体" w:hAnsi="宋体"/>
          <w:w w:val="90"/>
          <w:szCs w:val="36"/>
        </w:rPr>
        <w:t xml:space="preserve">  </w:t>
      </w:r>
      <w:r>
        <w:rPr>
          <w:rFonts w:hint="eastAsia" w:ascii="宋体" w:hAnsi="宋体"/>
        </w:rPr>
        <w:t>合同条款</w:t>
      </w:r>
      <w:bookmarkEnd w:id="80"/>
    </w:p>
    <w:p>
      <w:pPr>
        <w:adjustRightInd w:val="0"/>
        <w:snapToGrid w:val="0"/>
        <w:spacing w:line="360" w:lineRule="auto"/>
        <w:rPr>
          <w:rFonts w:asciiTheme="minorEastAsia" w:hAnsiTheme="minorEastAsia"/>
          <w:b/>
          <w:bCs/>
          <w:sz w:val="24"/>
          <w:szCs w:val="24"/>
        </w:rPr>
      </w:pPr>
      <w:r>
        <w:rPr>
          <w:rFonts w:hint="eastAsia" w:asciiTheme="minorEastAsia" w:hAnsiTheme="minorEastAsia"/>
          <w:b/>
          <w:bCs/>
          <w:sz w:val="24"/>
          <w:szCs w:val="24"/>
        </w:rPr>
        <w:t>1  合同双方</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u w:val="single"/>
        </w:rPr>
        <w:t xml:space="preserve">内蒙古大地云天化工有限公司 </w:t>
      </w:r>
      <w:r>
        <w:rPr>
          <w:rFonts w:asciiTheme="minorEastAsia" w:hAnsiTheme="minorEastAsia"/>
          <w:sz w:val="24"/>
          <w:szCs w:val="24"/>
          <w:u w:val="single"/>
        </w:rPr>
        <w:t xml:space="preserve">    </w:t>
      </w:r>
      <w:r>
        <w:rPr>
          <w:rFonts w:hint="eastAsia" w:asciiTheme="minorEastAsia" w:hAnsiTheme="minorEastAsia"/>
          <w:sz w:val="24"/>
          <w:szCs w:val="24"/>
          <w:u w:val="single"/>
        </w:rPr>
        <w:t>（</w:t>
      </w:r>
      <w:r>
        <w:rPr>
          <w:rFonts w:hint="eastAsia" w:asciiTheme="minorEastAsia" w:hAnsiTheme="minorEastAsia"/>
          <w:sz w:val="24"/>
          <w:szCs w:val="24"/>
        </w:rPr>
        <w:t>以下简称甲方）</w:t>
      </w:r>
    </w:p>
    <w:p>
      <w:pPr>
        <w:adjustRightInd w:val="0"/>
        <w:snapToGrid w:val="0"/>
        <w:spacing w:line="360" w:lineRule="auto"/>
        <w:ind w:firstLine="480"/>
        <w:rPr>
          <w:rFonts w:asciiTheme="minorEastAsia" w:hAnsiTheme="minorEastAsia"/>
          <w:sz w:val="24"/>
          <w:szCs w:val="24"/>
        </w:rPr>
      </w:pPr>
      <w:r>
        <w:rPr>
          <w:rFonts w:hint="eastAsia" w:ascii="宋体" w:hAnsi="宋体"/>
          <w:b/>
          <w:bCs/>
          <w:sz w:val="24"/>
          <w:szCs w:val="24"/>
          <w:u w:val="single"/>
        </w:rPr>
        <w:t>XXX</w:t>
      </w:r>
      <w:r>
        <w:rPr>
          <w:rFonts w:hint="eastAsia" w:asciiTheme="minorEastAsia" w:hAnsiTheme="minorEastAsia"/>
          <w:sz w:val="24"/>
          <w:szCs w:val="24"/>
          <w:u w:val="single"/>
        </w:rPr>
        <w:t xml:space="preserve">服务单位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4"/>
          <w:szCs w:val="24"/>
        </w:rPr>
        <w:t>（以下简称乙方）</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根据《中华人民共和国民法典》及相关法律法规的规定，双方本着自愿、平等、公平、诚实信用的原则，就化肥着色、包裹承包技术服务事宜协商一致，订立本合同，双方共同遵守。</w:t>
      </w:r>
    </w:p>
    <w:p>
      <w:pPr>
        <w:adjustRightInd w:val="0"/>
        <w:snapToGrid w:val="0"/>
        <w:spacing w:line="360" w:lineRule="auto"/>
        <w:rPr>
          <w:rFonts w:asciiTheme="minorEastAsia" w:hAnsiTheme="minorEastAsia"/>
          <w:b/>
          <w:sz w:val="24"/>
          <w:szCs w:val="24"/>
        </w:rPr>
      </w:pPr>
      <w:r>
        <w:rPr>
          <w:rFonts w:asciiTheme="minorEastAsia" w:hAnsiTheme="minorEastAsia"/>
          <w:b/>
          <w:sz w:val="24"/>
          <w:szCs w:val="24"/>
        </w:rPr>
        <w:t>2</w:t>
      </w:r>
      <w:r>
        <w:rPr>
          <w:rFonts w:hint="eastAsia" w:asciiTheme="minorEastAsia" w:hAnsiTheme="minorEastAsia"/>
          <w:b/>
          <w:sz w:val="24"/>
          <w:szCs w:val="24"/>
        </w:rPr>
        <w:t xml:space="preserve"> 合同期限</w:t>
      </w:r>
    </w:p>
    <w:p>
      <w:pPr>
        <w:adjustRightInd w:val="0"/>
        <w:snapToGrid w:val="0"/>
        <w:spacing w:line="360" w:lineRule="auto"/>
        <w:ind w:left="630" w:leftChars="300"/>
        <w:jc w:val="left"/>
        <w:rPr>
          <w:rFonts w:asciiTheme="minorEastAsia" w:hAnsiTheme="minorEastAsia"/>
          <w:bCs/>
          <w:sz w:val="24"/>
          <w:szCs w:val="24"/>
        </w:rPr>
      </w:pPr>
      <w:r>
        <w:rPr>
          <w:rFonts w:hint="eastAsia" w:asciiTheme="minorEastAsia" w:hAnsiTheme="minorEastAsia"/>
          <w:bCs/>
          <w:sz w:val="24"/>
          <w:szCs w:val="24"/>
        </w:rPr>
        <w:t>本合同期限为2年，自</w:t>
      </w:r>
      <w:r>
        <w:rPr>
          <w:rFonts w:asciiTheme="minorEastAsia" w:hAnsiTheme="minorEastAsia"/>
          <w:bCs/>
          <w:sz w:val="24"/>
          <w:szCs w:val="24"/>
          <w:u w:val="single"/>
        </w:rPr>
        <w:t xml:space="preserve"> </w:t>
      </w:r>
      <w:r>
        <w:rPr>
          <w:rFonts w:hint="eastAsia" w:asciiTheme="minorEastAsia" w:hAnsiTheme="minorEastAsia"/>
          <w:bCs/>
          <w:sz w:val="24"/>
          <w:szCs w:val="24"/>
          <w:u w:val="single"/>
        </w:rPr>
        <w:t>年</w:t>
      </w:r>
      <w:r>
        <w:rPr>
          <w:rFonts w:asciiTheme="minorEastAsia" w:hAnsiTheme="minorEastAsia"/>
          <w:bCs/>
          <w:sz w:val="24"/>
          <w:szCs w:val="24"/>
          <w:u w:val="single"/>
        </w:rPr>
        <w:t xml:space="preserve"> </w:t>
      </w:r>
      <w:r>
        <w:rPr>
          <w:rFonts w:hint="eastAsia" w:asciiTheme="minorEastAsia" w:hAnsiTheme="minorEastAsia"/>
          <w:bCs/>
          <w:sz w:val="24"/>
          <w:szCs w:val="24"/>
          <w:u w:val="single"/>
        </w:rPr>
        <w:t>月</w:t>
      </w:r>
      <w:r>
        <w:rPr>
          <w:rFonts w:asciiTheme="minorEastAsia" w:hAnsiTheme="minorEastAsia"/>
          <w:bCs/>
          <w:sz w:val="24"/>
          <w:szCs w:val="24"/>
          <w:u w:val="single"/>
        </w:rPr>
        <w:t xml:space="preserve"> </w:t>
      </w:r>
      <w:r>
        <w:rPr>
          <w:rFonts w:hint="eastAsia" w:asciiTheme="minorEastAsia" w:hAnsiTheme="minorEastAsia"/>
          <w:bCs/>
          <w:sz w:val="24"/>
          <w:szCs w:val="24"/>
          <w:u w:val="single"/>
        </w:rPr>
        <w:t>日</w:t>
      </w:r>
      <w:r>
        <w:rPr>
          <w:rFonts w:hint="eastAsia" w:asciiTheme="minorEastAsia" w:hAnsiTheme="minorEastAsia"/>
          <w:bCs/>
          <w:sz w:val="24"/>
          <w:szCs w:val="24"/>
        </w:rPr>
        <w:t>起至</w:t>
      </w:r>
      <w:r>
        <w:rPr>
          <w:rFonts w:asciiTheme="minorEastAsia" w:hAnsiTheme="minorEastAsia"/>
          <w:bCs/>
          <w:sz w:val="24"/>
          <w:szCs w:val="24"/>
          <w:u w:val="single"/>
        </w:rPr>
        <w:t xml:space="preserve"> </w:t>
      </w:r>
      <w:r>
        <w:rPr>
          <w:rFonts w:hint="eastAsia" w:asciiTheme="minorEastAsia" w:hAnsiTheme="minorEastAsia"/>
          <w:bCs/>
          <w:sz w:val="24"/>
          <w:szCs w:val="24"/>
          <w:u w:val="single"/>
        </w:rPr>
        <w:t xml:space="preserve"> 年</w:t>
      </w:r>
      <w:r>
        <w:rPr>
          <w:rFonts w:asciiTheme="minorEastAsia" w:hAnsiTheme="minorEastAsia"/>
          <w:bCs/>
          <w:sz w:val="24"/>
          <w:szCs w:val="24"/>
          <w:u w:val="single"/>
        </w:rPr>
        <w:t xml:space="preserve"> </w:t>
      </w:r>
      <w:r>
        <w:rPr>
          <w:rFonts w:hint="eastAsia" w:asciiTheme="minorEastAsia" w:hAnsiTheme="minorEastAsia"/>
          <w:bCs/>
          <w:sz w:val="24"/>
          <w:szCs w:val="24"/>
          <w:u w:val="single"/>
        </w:rPr>
        <w:t>月</w:t>
      </w:r>
      <w:r>
        <w:rPr>
          <w:rFonts w:asciiTheme="minorEastAsia" w:hAnsiTheme="minorEastAsia"/>
          <w:bCs/>
          <w:sz w:val="24"/>
          <w:szCs w:val="24"/>
          <w:u w:val="single"/>
        </w:rPr>
        <w:t xml:space="preserve"> </w:t>
      </w:r>
      <w:r>
        <w:rPr>
          <w:rFonts w:hint="eastAsia" w:asciiTheme="minorEastAsia" w:hAnsiTheme="minorEastAsia"/>
          <w:bCs/>
          <w:sz w:val="24"/>
          <w:szCs w:val="24"/>
          <w:u w:val="single"/>
        </w:rPr>
        <w:t>日</w:t>
      </w:r>
      <w:r>
        <w:rPr>
          <w:rFonts w:hint="eastAsia" w:asciiTheme="minorEastAsia" w:hAnsiTheme="minorEastAsia"/>
          <w:bCs/>
          <w:sz w:val="24"/>
          <w:szCs w:val="24"/>
        </w:rPr>
        <w:t>止，服务时间为：</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bCs/>
          <w:sz w:val="24"/>
          <w:szCs w:val="24"/>
        </w:rPr>
        <w:t>甲方有权根据乙方提供的服务质量，确定乙方的服务时间或更换服务方。</w:t>
      </w:r>
    </w:p>
    <w:p>
      <w:pPr>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3工作范围及内容</w:t>
      </w:r>
    </w:p>
    <w:p>
      <w:pPr>
        <w:adjustRightInd w:val="0"/>
        <w:snapToGrid w:val="0"/>
        <w:spacing w:line="360" w:lineRule="auto"/>
        <w:ind w:firstLine="480" w:firstLineChars="200"/>
        <w:rPr>
          <w:rFonts w:asciiTheme="minorEastAsia" w:hAnsiTheme="minorEastAsia"/>
          <w:bCs/>
          <w:sz w:val="24"/>
          <w:szCs w:val="24"/>
        </w:rPr>
      </w:pPr>
      <w:r>
        <w:rPr>
          <w:rFonts w:hint="eastAsia" w:ascii="宋体" w:hAnsi="宋体"/>
          <w:bCs/>
          <w:sz w:val="24"/>
          <w:szCs w:val="24"/>
        </w:rPr>
        <w:t>乙方</w:t>
      </w:r>
      <w:r>
        <w:rPr>
          <w:rFonts w:hint="eastAsia" w:asciiTheme="minorEastAsia" w:hAnsiTheme="minorEastAsia"/>
          <w:bCs/>
          <w:sz w:val="24"/>
          <w:szCs w:val="24"/>
        </w:rPr>
        <w:t>负责60万吨/年缓控释肥装置、25万吨/年NPK装置化肥着色、包裹业务，包含跟班技术服务，染色技术方案，提供添加所需原料、控制设备并承担其原料、维护、检修费用。</w:t>
      </w:r>
    </w:p>
    <w:p>
      <w:pPr>
        <w:adjustRightInd w:val="0"/>
        <w:snapToGrid w:val="0"/>
        <w:spacing w:line="360" w:lineRule="auto"/>
        <w:rPr>
          <w:rFonts w:asciiTheme="minorEastAsia" w:hAnsiTheme="minorEastAsia" w:cstheme="minorEastAsia"/>
          <w:b/>
          <w:bCs/>
          <w:sz w:val="24"/>
          <w:szCs w:val="24"/>
        </w:rPr>
      </w:pPr>
      <w:r>
        <w:rPr>
          <w:rFonts w:asciiTheme="minorEastAsia" w:hAnsiTheme="minorEastAsia" w:cstheme="minorEastAsia"/>
          <w:b/>
          <w:bCs/>
          <w:sz w:val="24"/>
          <w:szCs w:val="24"/>
        </w:rPr>
        <w:t>4</w:t>
      </w:r>
      <w:r>
        <w:rPr>
          <w:rFonts w:hint="eastAsia" w:asciiTheme="minorEastAsia" w:hAnsiTheme="minorEastAsia" w:cstheme="minorEastAsia"/>
          <w:b/>
          <w:bCs/>
          <w:sz w:val="24"/>
          <w:szCs w:val="24"/>
        </w:rPr>
        <w:t>合同价款及支付方式</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1本项业务无预付款。</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4.2</w:t>
      </w:r>
      <w:r>
        <w:rPr>
          <w:rFonts w:hint="eastAsia" w:asciiTheme="minorEastAsia" w:hAnsiTheme="minorEastAsia"/>
          <w:sz w:val="24"/>
          <w:szCs w:val="24"/>
        </w:rPr>
        <w:t>结算数量：以甲、</w:t>
      </w:r>
      <w:r>
        <w:rPr>
          <w:rFonts w:hint="eastAsia" w:ascii="宋体" w:hAnsi="宋体"/>
          <w:bCs/>
          <w:sz w:val="24"/>
          <w:szCs w:val="24"/>
        </w:rPr>
        <w:t>乙双方</w:t>
      </w:r>
      <w:r>
        <w:rPr>
          <w:rFonts w:hint="eastAsia" w:asciiTheme="minorEastAsia" w:hAnsiTheme="minorEastAsia"/>
          <w:sz w:val="24"/>
          <w:szCs w:val="24"/>
        </w:rPr>
        <w:t>确定的当月合格包裹着色产品出库量（包装量）为准按月结算，甲方原因导致不合格产生的返料由甲乙双方现场确认返料量后按月结算。</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4.3</w:t>
      </w:r>
      <w:r>
        <w:rPr>
          <w:rFonts w:hint="eastAsia" w:asciiTheme="minorEastAsia" w:hAnsiTheme="minorEastAsia"/>
          <w:sz w:val="24"/>
          <w:szCs w:val="24"/>
        </w:rPr>
        <w:t>结算方式</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4.3</w:t>
      </w:r>
      <w:r>
        <w:rPr>
          <w:rFonts w:hint="eastAsia" w:asciiTheme="minorEastAsia" w:hAnsiTheme="minorEastAsia"/>
          <w:sz w:val="24"/>
          <w:szCs w:val="24"/>
        </w:rPr>
        <w:t xml:space="preserve">.1按产品种类进行结算，详见下表： </w:t>
      </w:r>
    </w:p>
    <w:p/>
    <w:tbl>
      <w:tblPr>
        <w:tblStyle w:val="1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759"/>
        <w:gridCol w:w="162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序号</w:t>
            </w:r>
          </w:p>
        </w:tc>
        <w:tc>
          <w:tcPr>
            <w:tcW w:w="3759" w:type="dxa"/>
            <w:vAlign w:val="center"/>
          </w:tcPr>
          <w:p>
            <w:pPr>
              <w:rPr>
                <w:rFonts w:ascii="宋体" w:hAnsi="宋体" w:eastAsia="宋体"/>
                <w:szCs w:val="21"/>
              </w:rPr>
            </w:pPr>
            <w:r>
              <w:rPr>
                <w:rFonts w:hint="eastAsia" w:ascii="宋体" w:hAnsi="宋体" w:eastAsia="宋体"/>
                <w:szCs w:val="21"/>
              </w:rPr>
              <w:t>产品种类</w:t>
            </w:r>
          </w:p>
        </w:tc>
        <w:tc>
          <w:tcPr>
            <w:tcW w:w="1627" w:type="dxa"/>
            <w:vAlign w:val="center"/>
          </w:tcPr>
          <w:p>
            <w:pPr>
              <w:rPr>
                <w:rFonts w:ascii="宋体" w:hAnsi="宋体" w:eastAsia="宋体"/>
                <w:szCs w:val="21"/>
              </w:rPr>
            </w:pPr>
            <w:r>
              <w:rPr>
                <w:rFonts w:hint="eastAsia" w:ascii="宋体" w:hAnsi="宋体" w:eastAsia="宋体"/>
                <w:szCs w:val="21"/>
              </w:rPr>
              <w:t>吨合格产品单价</w:t>
            </w:r>
          </w:p>
          <w:p>
            <w:pPr>
              <w:rPr>
                <w:rFonts w:ascii="宋体" w:hAnsi="宋体" w:eastAsia="宋体"/>
                <w:szCs w:val="21"/>
              </w:rPr>
            </w:pPr>
            <w:r>
              <w:rPr>
                <w:rFonts w:hint="eastAsia" w:ascii="宋体" w:hAnsi="宋体" w:eastAsia="宋体"/>
                <w:szCs w:val="21"/>
              </w:rPr>
              <w:t>（元/吨）</w:t>
            </w:r>
          </w:p>
        </w:tc>
        <w:tc>
          <w:tcPr>
            <w:tcW w:w="2410" w:type="dxa"/>
            <w:vAlign w:val="center"/>
          </w:tcPr>
          <w:p>
            <w:pPr>
              <w:rPr>
                <w:rFonts w:ascii="宋体" w:hAnsi="宋体" w:eastAsia="宋体"/>
                <w:szCs w:val="21"/>
              </w:rPr>
            </w:pPr>
            <w:r>
              <w:rPr>
                <w:rFonts w:hint="eastAsia" w:ascii="宋体" w:hAnsi="宋体" w:eastAsia="宋体"/>
                <w:szCs w:val="21"/>
              </w:rPr>
              <w:t>甲方原因导致不合格产生的返料（元/吨）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1</w:t>
            </w:r>
          </w:p>
        </w:tc>
        <w:tc>
          <w:tcPr>
            <w:tcW w:w="3759" w:type="dxa"/>
            <w:vAlign w:val="center"/>
          </w:tcPr>
          <w:p>
            <w:pPr>
              <w:rPr>
                <w:rFonts w:ascii="宋体" w:hAnsi="宋体" w:eastAsia="宋体"/>
                <w:szCs w:val="21"/>
              </w:rPr>
            </w:pPr>
            <w:r>
              <w:rPr>
                <w:rFonts w:hint="eastAsia" w:ascii="宋体" w:hAnsi="宋体" w:eastAsia="宋体"/>
                <w:szCs w:val="21"/>
              </w:rPr>
              <w:t>褐色D</w:t>
            </w:r>
            <w:r>
              <w:rPr>
                <w:rFonts w:ascii="宋体" w:hAnsi="宋体" w:eastAsia="宋体"/>
                <w:szCs w:val="21"/>
              </w:rPr>
              <w:t>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2</w:t>
            </w:r>
          </w:p>
        </w:tc>
        <w:tc>
          <w:tcPr>
            <w:tcW w:w="3759" w:type="dxa"/>
            <w:vAlign w:val="center"/>
          </w:tcPr>
          <w:p>
            <w:pPr>
              <w:rPr>
                <w:rFonts w:ascii="宋体" w:hAnsi="宋体" w:eastAsia="宋体"/>
                <w:szCs w:val="21"/>
              </w:rPr>
            </w:pPr>
            <w:r>
              <w:rPr>
                <w:rFonts w:hint="eastAsia" w:ascii="宋体" w:hAnsi="宋体" w:eastAsia="宋体"/>
                <w:szCs w:val="21"/>
              </w:rPr>
              <w:t>绿色D</w:t>
            </w:r>
            <w:r>
              <w:rPr>
                <w:rFonts w:ascii="宋体" w:hAnsi="宋体" w:eastAsia="宋体"/>
                <w:szCs w:val="21"/>
              </w:rPr>
              <w:t>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3</w:t>
            </w:r>
          </w:p>
        </w:tc>
        <w:tc>
          <w:tcPr>
            <w:tcW w:w="3759" w:type="dxa"/>
            <w:vAlign w:val="center"/>
          </w:tcPr>
          <w:p>
            <w:pPr>
              <w:rPr>
                <w:rFonts w:ascii="宋体" w:hAnsi="宋体" w:eastAsia="宋体"/>
                <w:szCs w:val="21"/>
              </w:rPr>
            </w:pPr>
            <w:r>
              <w:rPr>
                <w:rFonts w:hint="eastAsia" w:ascii="宋体" w:hAnsi="宋体" w:eastAsia="宋体"/>
                <w:szCs w:val="21"/>
              </w:rPr>
              <w:t>黄色D</w:t>
            </w:r>
            <w:r>
              <w:rPr>
                <w:rFonts w:ascii="宋体" w:hAnsi="宋体" w:eastAsia="宋体"/>
                <w:szCs w:val="21"/>
              </w:rPr>
              <w:t>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4</w:t>
            </w:r>
          </w:p>
        </w:tc>
        <w:tc>
          <w:tcPr>
            <w:tcW w:w="3759" w:type="dxa"/>
            <w:vAlign w:val="center"/>
          </w:tcPr>
          <w:p>
            <w:pPr>
              <w:rPr>
                <w:rFonts w:ascii="宋体" w:hAnsi="宋体" w:eastAsia="宋体"/>
                <w:szCs w:val="21"/>
              </w:rPr>
            </w:pPr>
            <w:r>
              <w:rPr>
                <w:rFonts w:hint="eastAsia" w:ascii="宋体" w:hAnsi="宋体" w:eastAsia="宋体"/>
                <w:szCs w:val="21"/>
              </w:rPr>
              <w:t>本色D</w:t>
            </w:r>
            <w:r>
              <w:rPr>
                <w:rFonts w:ascii="宋体" w:hAnsi="宋体" w:eastAsia="宋体"/>
                <w:szCs w:val="21"/>
              </w:rPr>
              <w:t>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ascii="宋体" w:hAnsi="宋体" w:eastAsia="宋体"/>
                <w:szCs w:val="21"/>
              </w:rPr>
              <w:t>5</w:t>
            </w:r>
          </w:p>
        </w:tc>
        <w:tc>
          <w:tcPr>
            <w:tcW w:w="3759" w:type="dxa"/>
            <w:vAlign w:val="center"/>
          </w:tcPr>
          <w:p>
            <w:pPr>
              <w:rPr>
                <w:rFonts w:ascii="宋体" w:hAnsi="宋体" w:eastAsia="宋体"/>
                <w:szCs w:val="21"/>
              </w:rPr>
            </w:pPr>
            <w:r>
              <w:rPr>
                <w:rFonts w:hint="eastAsia" w:ascii="宋体" w:hAnsi="宋体" w:eastAsia="宋体"/>
                <w:szCs w:val="21"/>
              </w:rPr>
              <w:t>褐色G</w:t>
            </w:r>
            <w:r>
              <w:rPr>
                <w:rFonts w:ascii="宋体" w:hAnsi="宋体" w:eastAsia="宋体"/>
                <w:szCs w:val="21"/>
              </w:rPr>
              <w:t>MAP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hint="eastAsia" w:ascii="宋体" w:hAnsi="宋体" w:eastAsia="宋体"/>
                <w:szCs w:val="21"/>
              </w:rPr>
              <w:t>6</w:t>
            </w:r>
          </w:p>
        </w:tc>
        <w:tc>
          <w:tcPr>
            <w:tcW w:w="3759" w:type="dxa"/>
            <w:vAlign w:val="center"/>
          </w:tcPr>
          <w:p>
            <w:pPr>
              <w:rPr>
                <w:rFonts w:ascii="宋体" w:hAnsi="宋体" w:eastAsia="宋体"/>
                <w:szCs w:val="21"/>
              </w:rPr>
            </w:pPr>
            <w:r>
              <w:rPr>
                <w:rFonts w:hint="eastAsia" w:ascii="宋体" w:hAnsi="宋体" w:eastAsia="宋体"/>
                <w:szCs w:val="21"/>
              </w:rPr>
              <w:t>本色G</w:t>
            </w:r>
            <w:r>
              <w:rPr>
                <w:rFonts w:ascii="宋体" w:hAnsi="宋体" w:eastAsia="宋体"/>
                <w:szCs w:val="21"/>
              </w:rPr>
              <w:t>MAP</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rPr>
                <w:rFonts w:ascii="宋体" w:hAnsi="宋体" w:eastAsia="宋体"/>
                <w:szCs w:val="21"/>
              </w:rPr>
            </w:pPr>
            <w:r>
              <w:rPr>
                <w:rFonts w:ascii="宋体" w:hAnsi="宋体" w:eastAsia="宋体"/>
                <w:szCs w:val="21"/>
              </w:rPr>
              <w:t>7</w:t>
            </w:r>
          </w:p>
        </w:tc>
        <w:tc>
          <w:tcPr>
            <w:tcW w:w="3759" w:type="dxa"/>
            <w:vAlign w:val="center"/>
          </w:tcPr>
          <w:p>
            <w:pPr>
              <w:rPr>
                <w:rFonts w:ascii="宋体" w:hAnsi="宋体" w:eastAsia="宋体"/>
                <w:szCs w:val="21"/>
              </w:rPr>
            </w:pPr>
            <w:r>
              <w:rPr>
                <w:rFonts w:ascii="宋体" w:hAnsi="宋体" w:eastAsia="宋体"/>
                <w:szCs w:val="21"/>
              </w:rPr>
              <w:t>57</w:t>
            </w:r>
            <w:r>
              <w:rPr>
                <w:rFonts w:hint="eastAsia" w:ascii="宋体" w:hAnsi="宋体" w:eastAsia="宋体"/>
                <w:szCs w:val="21"/>
              </w:rPr>
              <w:t>%</w:t>
            </w:r>
            <w:r>
              <w:rPr>
                <w:rFonts w:ascii="宋体" w:hAnsi="宋体" w:eastAsia="宋体"/>
                <w:szCs w:val="21"/>
              </w:rPr>
              <w:t>DAP</w:t>
            </w:r>
            <w:r>
              <w:rPr>
                <w:rFonts w:hint="eastAsia" w:ascii="宋体" w:hAnsi="宋体" w:eastAsia="宋体"/>
                <w:szCs w:val="21"/>
              </w:rPr>
              <w:t>解磷宝褐色</w:t>
            </w:r>
          </w:p>
          <w:p>
            <w:pPr>
              <w:jc w:val="left"/>
              <w:rPr>
                <w:rFonts w:ascii="宋体" w:hAnsi="宋体" w:eastAsia="宋体"/>
                <w:szCs w:val="21"/>
              </w:rPr>
            </w:pPr>
            <w:r>
              <w:rPr>
                <w:rFonts w:ascii="宋体" w:hAnsi="宋体" w:eastAsia="宋体"/>
                <w:szCs w:val="21"/>
              </w:rPr>
              <w:t>53</w:t>
            </w:r>
            <w:r>
              <w:rPr>
                <w:rFonts w:hint="eastAsia" w:ascii="宋体" w:hAnsi="宋体" w:eastAsia="宋体"/>
                <w:szCs w:val="21"/>
              </w:rPr>
              <w:t>%</w:t>
            </w:r>
            <w:r>
              <w:rPr>
                <w:rFonts w:ascii="宋体" w:hAnsi="宋体" w:eastAsia="宋体"/>
                <w:szCs w:val="21"/>
              </w:rPr>
              <w:t>DAP(14-39)</w:t>
            </w:r>
            <w:r>
              <w:rPr>
                <w:rFonts w:hint="eastAsia" w:ascii="宋体" w:hAnsi="宋体" w:eastAsia="宋体"/>
                <w:szCs w:val="21"/>
              </w:rPr>
              <w:t xml:space="preserve"> 麟聚力褐色</w:t>
            </w:r>
            <w:r>
              <w:rPr>
                <w:rFonts w:ascii="宋体" w:hAnsi="宋体" w:eastAsia="宋体"/>
                <w:szCs w:val="21"/>
              </w:rPr>
              <w:t>60</w:t>
            </w:r>
            <w:r>
              <w:rPr>
                <w:rFonts w:hint="eastAsia" w:ascii="宋体" w:hAnsi="宋体" w:eastAsia="宋体"/>
                <w:szCs w:val="21"/>
              </w:rPr>
              <w:t>%</w:t>
            </w:r>
            <w:r>
              <w:rPr>
                <w:rFonts w:ascii="宋体" w:hAnsi="宋体" w:eastAsia="宋体"/>
                <w:szCs w:val="21"/>
              </w:rPr>
              <w:t>DAP(16</w:t>
            </w:r>
            <w:r>
              <w:rPr>
                <w:rFonts w:hint="eastAsia" w:ascii="宋体" w:hAnsi="宋体" w:eastAsia="宋体"/>
                <w:szCs w:val="21"/>
              </w:rPr>
              <w:t>-</w:t>
            </w:r>
            <w:r>
              <w:rPr>
                <w:rFonts w:ascii="宋体" w:hAnsi="宋体" w:eastAsia="宋体"/>
                <w:szCs w:val="21"/>
              </w:rPr>
              <w:t>44)</w:t>
            </w:r>
            <w:r>
              <w:rPr>
                <w:rFonts w:hint="eastAsia" w:ascii="宋体" w:hAnsi="宋体" w:eastAsia="宋体"/>
                <w:szCs w:val="21"/>
              </w:rPr>
              <w:t>麟聚力褐色</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46" w:type="dxa"/>
            <w:vAlign w:val="center"/>
          </w:tcPr>
          <w:p>
            <w:pPr>
              <w:rPr>
                <w:rFonts w:ascii="宋体" w:hAnsi="宋体" w:eastAsia="宋体"/>
                <w:szCs w:val="21"/>
              </w:rPr>
            </w:pPr>
            <w:r>
              <w:rPr>
                <w:rFonts w:ascii="宋体" w:hAnsi="宋体" w:eastAsia="宋体"/>
                <w:szCs w:val="21"/>
              </w:rPr>
              <w:t>8</w:t>
            </w:r>
          </w:p>
        </w:tc>
        <w:tc>
          <w:tcPr>
            <w:tcW w:w="3759" w:type="dxa"/>
            <w:vAlign w:val="center"/>
          </w:tcPr>
          <w:p>
            <w:pPr>
              <w:rPr>
                <w:rFonts w:ascii="宋体" w:hAnsi="宋体" w:eastAsia="宋体"/>
                <w:szCs w:val="21"/>
              </w:rPr>
            </w:pPr>
            <w:r>
              <w:rPr>
                <w:rFonts w:ascii="宋体" w:hAnsi="宋体" w:eastAsia="宋体"/>
                <w:szCs w:val="21"/>
              </w:rPr>
              <w:t>NPK</w:t>
            </w: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、1</w:t>
            </w:r>
            <w:r>
              <w:rPr>
                <w:rFonts w:ascii="宋体" w:hAnsi="宋体" w:eastAsia="宋体"/>
                <w:szCs w:val="21"/>
              </w:rPr>
              <w:t>6</w:t>
            </w:r>
            <w:r>
              <w:rPr>
                <w:rFonts w:hint="eastAsia" w:ascii="宋体" w:hAnsi="宋体" w:eastAsia="宋体"/>
                <w:szCs w:val="21"/>
              </w:rPr>
              <w:t>-</w:t>
            </w:r>
            <w:r>
              <w:rPr>
                <w:rFonts w:ascii="宋体" w:hAnsi="宋体" w:eastAsia="宋体"/>
                <w:szCs w:val="21"/>
              </w:rPr>
              <w:t>20</w:t>
            </w:r>
            <w:r>
              <w:rPr>
                <w:rFonts w:hint="eastAsia" w:ascii="宋体" w:hAnsi="宋体" w:eastAsia="宋体"/>
                <w:szCs w:val="21"/>
              </w:rPr>
              <w:t>）褐色</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46" w:type="dxa"/>
            <w:vAlign w:val="center"/>
          </w:tcPr>
          <w:p>
            <w:pPr>
              <w:rPr>
                <w:rFonts w:ascii="宋体" w:hAnsi="宋体" w:eastAsia="宋体"/>
                <w:szCs w:val="21"/>
              </w:rPr>
            </w:pPr>
            <w:r>
              <w:rPr>
                <w:rFonts w:hint="eastAsia" w:ascii="宋体" w:hAnsi="宋体" w:eastAsia="宋体"/>
                <w:szCs w:val="21"/>
              </w:rPr>
              <w:t>9</w:t>
            </w:r>
          </w:p>
        </w:tc>
        <w:tc>
          <w:tcPr>
            <w:tcW w:w="3759" w:type="dxa"/>
            <w:vAlign w:val="center"/>
          </w:tcPr>
          <w:p>
            <w:pPr>
              <w:rPr>
                <w:rFonts w:ascii="宋体" w:hAnsi="宋体" w:eastAsia="宋体"/>
                <w:szCs w:val="21"/>
              </w:rPr>
            </w:pPr>
            <w:r>
              <w:rPr>
                <w:rFonts w:ascii="宋体" w:hAnsi="宋体" w:eastAsia="宋体"/>
                <w:szCs w:val="21"/>
              </w:rPr>
              <w:t>NPK</w:t>
            </w: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、1</w:t>
            </w:r>
            <w:r>
              <w:rPr>
                <w:rFonts w:ascii="宋体" w:hAnsi="宋体" w:eastAsia="宋体"/>
                <w:szCs w:val="21"/>
              </w:rPr>
              <w:t>6</w:t>
            </w:r>
            <w:r>
              <w:rPr>
                <w:rFonts w:hint="eastAsia" w:ascii="宋体" w:hAnsi="宋体" w:eastAsia="宋体"/>
                <w:szCs w:val="21"/>
              </w:rPr>
              <w:t>-</w:t>
            </w:r>
            <w:r>
              <w:rPr>
                <w:rFonts w:ascii="宋体" w:hAnsi="宋体" w:eastAsia="宋体"/>
                <w:szCs w:val="21"/>
              </w:rPr>
              <w:t>20</w:t>
            </w:r>
            <w:r>
              <w:rPr>
                <w:rFonts w:hint="eastAsia" w:ascii="宋体" w:hAnsi="宋体" w:eastAsia="宋体"/>
                <w:szCs w:val="21"/>
              </w:rPr>
              <w:t>）内外染+黑色扑粉</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6" w:type="dxa"/>
            <w:vAlign w:val="center"/>
          </w:tcPr>
          <w:p>
            <w:pPr>
              <w:rPr>
                <w:rFonts w:ascii="宋体" w:hAnsi="宋体" w:eastAsia="宋体"/>
                <w:szCs w:val="21"/>
              </w:rPr>
            </w:pPr>
            <w:r>
              <w:rPr>
                <w:rFonts w:ascii="宋体" w:hAnsi="宋体" w:eastAsia="宋体"/>
                <w:szCs w:val="21"/>
              </w:rPr>
              <w:t>10</w:t>
            </w:r>
          </w:p>
        </w:tc>
        <w:tc>
          <w:tcPr>
            <w:tcW w:w="3759" w:type="dxa"/>
            <w:vAlign w:val="center"/>
          </w:tcPr>
          <w:p>
            <w:pPr>
              <w:rPr>
                <w:rFonts w:ascii="宋体" w:hAnsi="宋体" w:eastAsia="宋体"/>
                <w:szCs w:val="21"/>
              </w:rPr>
            </w:pPr>
            <w:r>
              <w:rPr>
                <w:rFonts w:ascii="宋体" w:hAnsi="宋体" w:eastAsia="宋体"/>
                <w:szCs w:val="21"/>
              </w:rPr>
              <w:t>NPK</w:t>
            </w:r>
            <w:r>
              <w:rPr>
                <w:rFonts w:hint="eastAsia" w:ascii="宋体" w:hAnsi="宋体" w:eastAsia="宋体"/>
                <w:szCs w:val="21"/>
              </w:rPr>
              <w:t>（1</w:t>
            </w:r>
            <w:r>
              <w:rPr>
                <w:rFonts w:ascii="宋体" w:hAnsi="宋体" w:eastAsia="宋体"/>
                <w:szCs w:val="21"/>
              </w:rPr>
              <w:t>7</w:t>
            </w:r>
            <w:r>
              <w:rPr>
                <w:rFonts w:hint="eastAsia" w:ascii="宋体" w:hAnsi="宋体" w:eastAsia="宋体"/>
                <w:szCs w:val="21"/>
              </w:rPr>
              <w:t>-</w:t>
            </w:r>
            <w:r>
              <w:rPr>
                <w:rFonts w:ascii="宋体" w:hAnsi="宋体" w:eastAsia="宋体"/>
                <w:szCs w:val="21"/>
              </w:rPr>
              <w:t>20</w:t>
            </w:r>
            <w:r>
              <w:rPr>
                <w:rFonts w:hint="eastAsia" w:ascii="宋体" w:hAnsi="宋体" w:eastAsia="宋体"/>
                <w:szCs w:val="21"/>
              </w:rPr>
              <w:t>-</w:t>
            </w:r>
            <w:r>
              <w:rPr>
                <w:rFonts w:ascii="宋体" w:hAnsi="宋体" w:eastAsia="宋体"/>
                <w:szCs w:val="21"/>
              </w:rPr>
              <w:t>5</w:t>
            </w:r>
            <w:r>
              <w:rPr>
                <w:rFonts w:hint="eastAsia" w:ascii="宋体" w:hAnsi="宋体" w:eastAsia="宋体"/>
                <w:szCs w:val="21"/>
              </w:rPr>
              <w:t>）/</w:t>
            </w:r>
            <w:r>
              <w:rPr>
                <w:rFonts w:ascii="宋体" w:hAnsi="宋体" w:eastAsia="宋体"/>
                <w:szCs w:val="21"/>
              </w:rPr>
              <w:t>(</w:t>
            </w:r>
            <w:r>
              <w:rPr>
                <w:rFonts w:hint="eastAsia" w:ascii="宋体" w:hAnsi="宋体" w:eastAsia="宋体"/>
                <w:szCs w:val="21"/>
              </w:rPr>
              <w:t xml:space="preserve"> 13-23-12</w:t>
            </w:r>
            <w:r>
              <w:rPr>
                <w:rFonts w:ascii="宋体" w:hAnsi="宋体" w:eastAsia="宋体"/>
                <w:szCs w:val="21"/>
              </w:rPr>
              <w:t>)</w:t>
            </w:r>
            <w:r>
              <w:rPr>
                <w:rFonts w:hint="eastAsia" w:ascii="宋体" w:hAnsi="宋体" w:eastAsia="宋体"/>
                <w:szCs w:val="21"/>
              </w:rPr>
              <w:t>黑色</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6"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1</w:t>
            </w:r>
          </w:p>
        </w:tc>
        <w:tc>
          <w:tcPr>
            <w:tcW w:w="3759" w:type="dxa"/>
            <w:vAlign w:val="center"/>
          </w:tcPr>
          <w:p>
            <w:pPr>
              <w:rPr>
                <w:rFonts w:ascii="宋体" w:hAnsi="宋体" w:eastAsia="宋体"/>
                <w:szCs w:val="21"/>
              </w:rPr>
            </w:pPr>
            <w:r>
              <w:rPr>
                <w:rFonts w:hint="eastAsia" w:ascii="宋体" w:hAnsi="宋体" w:eastAsia="宋体"/>
                <w:szCs w:val="21"/>
              </w:rPr>
              <w:t>绿色含钾二铵（1</w:t>
            </w:r>
            <w:r>
              <w:rPr>
                <w:rFonts w:ascii="宋体" w:hAnsi="宋体" w:eastAsia="宋体"/>
                <w:szCs w:val="21"/>
              </w:rPr>
              <w:t>5</w:t>
            </w:r>
            <w:r>
              <w:rPr>
                <w:rFonts w:hint="eastAsia" w:ascii="宋体" w:hAnsi="宋体" w:eastAsia="宋体"/>
                <w:szCs w:val="21"/>
              </w:rPr>
              <w:t>-</w:t>
            </w:r>
            <w:r>
              <w:rPr>
                <w:rFonts w:ascii="宋体" w:hAnsi="宋体" w:eastAsia="宋体"/>
                <w:szCs w:val="21"/>
              </w:rPr>
              <w:t>39</w:t>
            </w:r>
            <w:r>
              <w:rPr>
                <w:rFonts w:hint="eastAsia" w:ascii="宋体" w:hAnsi="宋体" w:eastAsia="宋体"/>
                <w:szCs w:val="21"/>
              </w:rPr>
              <w:t>-</w:t>
            </w:r>
            <w:r>
              <w:rPr>
                <w:rFonts w:ascii="宋体" w:hAnsi="宋体" w:eastAsia="宋体"/>
                <w:szCs w:val="21"/>
              </w:rPr>
              <w:t>8</w:t>
            </w:r>
            <w:r>
              <w:rPr>
                <w:rFonts w:hint="eastAsia" w:ascii="宋体" w:hAnsi="宋体" w:eastAsia="宋体"/>
                <w:szCs w:val="21"/>
              </w:rPr>
              <w:t>）</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46"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2</w:t>
            </w:r>
          </w:p>
        </w:tc>
        <w:tc>
          <w:tcPr>
            <w:tcW w:w="3759" w:type="dxa"/>
            <w:vAlign w:val="center"/>
          </w:tcPr>
          <w:p>
            <w:pPr>
              <w:rPr>
                <w:rFonts w:ascii="宋体" w:hAnsi="宋体" w:eastAsia="宋体"/>
                <w:szCs w:val="21"/>
              </w:rPr>
            </w:pPr>
            <w:r>
              <w:rPr>
                <w:rFonts w:hint="eastAsia" w:ascii="宋体" w:hAnsi="宋体" w:eastAsia="宋体"/>
                <w:szCs w:val="21"/>
              </w:rPr>
              <w:t>绿色N</w:t>
            </w:r>
            <w:r>
              <w:rPr>
                <w:rFonts w:ascii="宋体" w:hAnsi="宋体" w:eastAsia="宋体"/>
                <w:szCs w:val="21"/>
              </w:rPr>
              <w:t>PK</w:t>
            </w:r>
            <w:r>
              <w:rPr>
                <w:rFonts w:hint="eastAsia" w:ascii="宋体" w:hAnsi="宋体" w:eastAsia="宋体"/>
                <w:szCs w:val="21"/>
              </w:rPr>
              <w:t>（1</w:t>
            </w:r>
            <w:r>
              <w:rPr>
                <w:rFonts w:ascii="宋体" w:hAnsi="宋体" w:eastAsia="宋体"/>
                <w:szCs w:val="21"/>
              </w:rPr>
              <w:t>8</w:t>
            </w:r>
            <w:r>
              <w:rPr>
                <w:rFonts w:hint="eastAsia" w:ascii="宋体" w:hAnsi="宋体" w:eastAsia="宋体"/>
                <w:szCs w:val="21"/>
              </w:rPr>
              <w:t>-</w:t>
            </w:r>
            <w:r>
              <w:rPr>
                <w:rFonts w:ascii="宋体" w:hAnsi="宋体" w:eastAsia="宋体"/>
                <w:szCs w:val="21"/>
              </w:rPr>
              <w:t>26</w:t>
            </w:r>
            <w:r>
              <w:rPr>
                <w:rFonts w:hint="eastAsia" w:ascii="宋体" w:hAnsi="宋体" w:eastAsia="宋体"/>
                <w:szCs w:val="21"/>
              </w:rPr>
              <w:t>-</w:t>
            </w:r>
            <w:r>
              <w:rPr>
                <w:rFonts w:ascii="宋体" w:hAnsi="宋体" w:eastAsia="宋体"/>
                <w:szCs w:val="21"/>
              </w:rPr>
              <w:t>6</w:t>
            </w:r>
            <w:r>
              <w:rPr>
                <w:rFonts w:hint="eastAsia" w:ascii="宋体" w:hAnsi="宋体" w:eastAsia="宋体"/>
                <w:szCs w:val="21"/>
              </w:rPr>
              <w:t>）</w:t>
            </w:r>
          </w:p>
        </w:tc>
        <w:tc>
          <w:tcPr>
            <w:tcW w:w="1627" w:type="dxa"/>
            <w:vAlign w:val="center"/>
          </w:tcPr>
          <w:p>
            <w:pPr>
              <w:rPr>
                <w:rFonts w:ascii="宋体" w:hAnsi="宋体" w:eastAsia="宋体"/>
                <w:szCs w:val="21"/>
              </w:rPr>
            </w:pPr>
          </w:p>
        </w:tc>
        <w:tc>
          <w:tcPr>
            <w:tcW w:w="2410" w:type="dxa"/>
            <w:vAlign w:val="center"/>
          </w:tcPr>
          <w:p>
            <w:pPr>
              <w:rPr>
                <w:rFonts w:ascii="宋体" w:hAnsi="宋体" w:eastAsia="宋体"/>
                <w:szCs w:val="21"/>
              </w:rPr>
            </w:pPr>
          </w:p>
        </w:tc>
      </w:tr>
    </w:tbl>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.4</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付款方式为半年期承兑，超半年以上的承兑则吨肥承包计价×102%进行付款。付款前乙方需开具</w:t>
      </w:r>
      <w:r>
        <w:rPr>
          <w:rFonts w:asciiTheme="minorEastAsia" w:hAnsiTheme="minorEastAsia"/>
          <w:sz w:val="24"/>
          <w:szCs w:val="24"/>
          <w:u w:val="single"/>
        </w:rPr>
        <w:t xml:space="preserve">   </w:t>
      </w:r>
      <w:r>
        <w:rPr>
          <w:rFonts w:hint="eastAsia" w:asciiTheme="minorEastAsia" w:hAnsiTheme="minorEastAsia"/>
          <w:sz w:val="24"/>
          <w:szCs w:val="24"/>
        </w:rPr>
        <w:t>的全额增值税发票，甲方次月30日前完成上月费用结算支付。</w:t>
      </w:r>
      <w:r>
        <w:rPr>
          <w:rFonts w:hint="eastAsia" w:ascii="宋体" w:hAnsi="宋体"/>
          <w:bCs/>
          <w:sz w:val="24"/>
          <w:szCs w:val="24"/>
        </w:rPr>
        <w:t>乙方</w:t>
      </w:r>
      <w:r>
        <w:rPr>
          <w:rFonts w:hint="eastAsia" w:asciiTheme="minorEastAsia" w:hAnsiTheme="minorEastAsia"/>
          <w:sz w:val="24"/>
          <w:szCs w:val="24"/>
        </w:rPr>
        <w:t>出具的增值税发票可作为双方货款结算的依据。</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4.5</w:t>
      </w:r>
      <w:r>
        <w:rPr>
          <w:rFonts w:hint="eastAsia" w:asciiTheme="minorEastAsia" w:hAnsiTheme="minorEastAsia"/>
          <w:sz w:val="24"/>
          <w:szCs w:val="24"/>
        </w:rPr>
        <w:t xml:space="preserve"> 以产品包装时间为准，质保期6个月。包裹着色后的产品色质均匀（产品L、a、b值按附件2指标执行和考核），质保期内由于</w:t>
      </w:r>
      <w:r>
        <w:rPr>
          <w:rFonts w:hint="eastAsia" w:ascii="宋体" w:hAnsi="宋体"/>
          <w:bCs/>
          <w:sz w:val="24"/>
          <w:szCs w:val="24"/>
        </w:rPr>
        <w:t>乙方</w:t>
      </w:r>
      <w:r>
        <w:rPr>
          <w:rFonts w:hint="eastAsia" w:asciiTheme="minorEastAsia" w:hAnsiTheme="minorEastAsia"/>
          <w:sz w:val="24"/>
          <w:szCs w:val="24"/>
        </w:rPr>
        <w:t>产品质量问题或</w:t>
      </w:r>
      <w:r>
        <w:rPr>
          <w:rFonts w:hint="eastAsia" w:ascii="宋体" w:hAnsi="宋体"/>
          <w:bCs/>
          <w:sz w:val="24"/>
          <w:szCs w:val="24"/>
        </w:rPr>
        <w:t>乙方</w:t>
      </w:r>
      <w:r>
        <w:rPr>
          <w:rFonts w:hint="eastAsia" w:asciiTheme="minorEastAsia" w:hAnsiTheme="minorEastAsia"/>
          <w:sz w:val="24"/>
          <w:szCs w:val="24"/>
        </w:rPr>
        <w:t>现场控制服务原因造成的索赔和损失（水份超标、在途运输破损、库存条件不当除外），</w:t>
      </w:r>
      <w:r>
        <w:rPr>
          <w:rFonts w:hint="eastAsia" w:ascii="宋体" w:hAnsi="宋体"/>
          <w:bCs/>
          <w:sz w:val="24"/>
          <w:szCs w:val="24"/>
        </w:rPr>
        <w:t>乙方</w:t>
      </w:r>
      <w:r>
        <w:rPr>
          <w:rFonts w:hint="eastAsia" w:asciiTheme="minorEastAsia" w:hAnsiTheme="minorEastAsia"/>
          <w:sz w:val="24"/>
          <w:szCs w:val="24"/>
        </w:rPr>
        <w:t xml:space="preserve">承担相应赔偿损失50元/吨。  </w:t>
      </w:r>
    </w:p>
    <w:p>
      <w:pPr>
        <w:adjustRightInd w:val="0"/>
        <w:snapToGrid w:val="0"/>
        <w:spacing w:line="360" w:lineRule="auto"/>
        <w:rPr>
          <w:rFonts w:asciiTheme="minorEastAsia" w:hAnsiTheme="minorEastAsia"/>
          <w:b/>
          <w:sz w:val="24"/>
          <w:szCs w:val="24"/>
        </w:rPr>
      </w:pPr>
      <w:r>
        <w:rPr>
          <w:rFonts w:asciiTheme="minorEastAsia" w:hAnsiTheme="minorEastAsia"/>
          <w:b/>
          <w:sz w:val="24"/>
          <w:szCs w:val="24"/>
        </w:rPr>
        <w:t>5</w:t>
      </w:r>
      <w:r>
        <w:rPr>
          <w:rFonts w:hint="eastAsia" w:asciiTheme="minorEastAsia" w:hAnsiTheme="minorEastAsia"/>
          <w:b/>
          <w:sz w:val="24"/>
          <w:szCs w:val="24"/>
        </w:rPr>
        <w:t>履约保证金</w:t>
      </w:r>
    </w:p>
    <w:p>
      <w:pPr>
        <w:adjustRightInd w:val="0"/>
        <w:snapToGrid w:val="0"/>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总额100万元，在合同签订后1</w:t>
      </w:r>
      <w:r>
        <w:rPr>
          <w:rFonts w:asciiTheme="minorEastAsia" w:hAnsiTheme="minorEastAsia"/>
          <w:sz w:val="24"/>
          <w:szCs w:val="24"/>
          <w:highlight w:val="none"/>
        </w:rPr>
        <w:t>0</w:t>
      </w:r>
      <w:r>
        <w:rPr>
          <w:rFonts w:hint="eastAsia" w:asciiTheme="minorEastAsia" w:hAnsiTheme="minorEastAsia"/>
          <w:sz w:val="24"/>
          <w:szCs w:val="24"/>
          <w:highlight w:val="none"/>
        </w:rPr>
        <w:t>天内存至甲方账户，待合同履行完毕后，乙方提交退还申请，按甲方审批程序执行，无违约情况下一个月内进行全额返还。</w:t>
      </w:r>
    </w:p>
    <w:p>
      <w:pPr>
        <w:adjustRightInd w:val="0"/>
        <w:snapToGrid w:val="0"/>
        <w:spacing w:line="360" w:lineRule="auto"/>
        <w:rPr>
          <w:rFonts w:asciiTheme="minorEastAsia" w:hAnsiTheme="minorEastAsia"/>
          <w:b/>
          <w:bCs/>
          <w:sz w:val="24"/>
          <w:szCs w:val="24"/>
        </w:rPr>
      </w:pPr>
      <w:r>
        <w:rPr>
          <w:rFonts w:asciiTheme="minorEastAsia" w:hAnsiTheme="minorEastAsia"/>
          <w:b/>
          <w:bCs/>
          <w:sz w:val="24"/>
          <w:szCs w:val="24"/>
        </w:rPr>
        <w:t>6</w:t>
      </w:r>
      <w:r>
        <w:rPr>
          <w:rFonts w:hint="eastAsia" w:asciiTheme="minorEastAsia" w:hAnsiTheme="minorEastAsia"/>
          <w:b/>
          <w:bCs/>
          <w:sz w:val="24"/>
          <w:szCs w:val="24"/>
        </w:rPr>
        <w:t>甲方的权利和义务</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6.</w:t>
      </w:r>
      <w:r>
        <w:rPr>
          <w:rFonts w:hint="eastAsia" w:asciiTheme="minorEastAsia" w:hAnsiTheme="minorEastAsia"/>
          <w:bCs/>
          <w:sz w:val="24"/>
          <w:szCs w:val="24"/>
        </w:rPr>
        <w:t>1 甲方提供着色剂、包裹油原料的仓储场地，乙方负责着色剂、包裹油原料的仓储管理。</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 xml:space="preserve">6.2 </w:t>
      </w:r>
      <w:r>
        <w:rPr>
          <w:rFonts w:hint="eastAsia" w:ascii="宋体" w:hAnsi="宋体"/>
          <w:bCs/>
          <w:sz w:val="24"/>
          <w:szCs w:val="24"/>
        </w:rPr>
        <w:t>乙方</w:t>
      </w:r>
      <w:r>
        <w:rPr>
          <w:rFonts w:hint="eastAsia" w:asciiTheme="minorEastAsia" w:hAnsiTheme="minorEastAsia"/>
          <w:bCs/>
          <w:sz w:val="24"/>
          <w:szCs w:val="24"/>
        </w:rPr>
        <w:t>服务期间，现场服务所需水、电、气（含蒸汽）由甲方免费提供服务。</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6.3</w:t>
      </w:r>
      <w:r>
        <w:rPr>
          <w:rFonts w:hint="eastAsia" w:asciiTheme="minorEastAsia" w:hAnsiTheme="minorEastAsia"/>
          <w:bCs/>
          <w:sz w:val="24"/>
          <w:szCs w:val="24"/>
        </w:rPr>
        <w:t>甲方生产的产品在养分变化、磷酸品质及颜色变化时，以及单方面发出的要求操作等通知，提前以书面方式通知乙方，并给予乙方合理的时间进行调整。</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6.4</w:t>
      </w:r>
      <w:r>
        <w:rPr>
          <w:rFonts w:hint="eastAsia" w:asciiTheme="minorEastAsia" w:hAnsiTheme="minorEastAsia"/>
          <w:bCs/>
          <w:sz w:val="24"/>
          <w:szCs w:val="24"/>
        </w:rPr>
        <w:t>服务期间，因甲方产品颜色调整，需要乙方组织供货品种，甲方提前20天通知乙方供货准备。</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6.5</w:t>
      </w:r>
      <w:r>
        <w:rPr>
          <w:rFonts w:hint="eastAsia" w:asciiTheme="minorEastAsia" w:hAnsiTheme="minorEastAsia"/>
          <w:bCs/>
          <w:sz w:val="24"/>
          <w:szCs w:val="24"/>
        </w:rPr>
        <w:t>甲方在现场提供一间操作室给乙方使用。</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6.6</w:t>
      </w:r>
      <w:r>
        <w:rPr>
          <w:rFonts w:hint="eastAsia" w:asciiTheme="minorEastAsia" w:hAnsiTheme="minorEastAsia"/>
          <w:bCs/>
          <w:sz w:val="24"/>
          <w:szCs w:val="24"/>
        </w:rPr>
        <w:t>甲方保证按合同要求及时结算支付费用给乙方。若甲方不按时结算支付货款的，由甲方承担乙方不能按时供货的责任。</w:t>
      </w:r>
    </w:p>
    <w:p>
      <w:pPr>
        <w:adjustRightInd w:val="0"/>
        <w:snapToGrid w:val="0"/>
        <w:spacing w:line="360" w:lineRule="auto"/>
        <w:rPr>
          <w:rFonts w:asciiTheme="minorEastAsia" w:hAnsiTheme="minorEastAsia"/>
          <w:b/>
          <w:bCs/>
          <w:sz w:val="24"/>
          <w:szCs w:val="24"/>
        </w:rPr>
      </w:pPr>
      <w:r>
        <w:rPr>
          <w:rFonts w:asciiTheme="minorEastAsia" w:hAnsiTheme="minorEastAsia"/>
          <w:b/>
          <w:bCs/>
          <w:sz w:val="24"/>
          <w:szCs w:val="24"/>
        </w:rPr>
        <w:t>7</w:t>
      </w:r>
      <w:r>
        <w:rPr>
          <w:rFonts w:hint="eastAsia" w:asciiTheme="minorEastAsia" w:hAnsiTheme="minorEastAsia"/>
          <w:b/>
          <w:bCs/>
          <w:sz w:val="24"/>
          <w:szCs w:val="24"/>
        </w:rPr>
        <w:t xml:space="preserve"> 乙方的权利和义务</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7.1</w:t>
      </w:r>
      <w:r>
        <w:rPr>
          <w:rFonts w:hint="eastAsia" w:asciiTheme="minorEastAsia" w:hAnsiTheme="minorEastAsia"/>
          <w:bCs/>
          <w:sz w:val="24"/>
          <w:szCs w:val="24"/>
        </w:rPr>
        <w:t>乙方提供着色剂包裹油，其品质符合国内国际环保要求，添加后不与生产的产品发生化学反应，不改变产品的化学成分。</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7.2</w:t>
      </w:r>
      <w:r>
        <w:rPr>
          <w:rFonts w:hint="eastAsia" w:asciiTheme="minorEastAsia" w:hAnsiTheme="minorEastAsia"/>
          <w:bCs/>
          <w:sz w:val="24"/>
          <w:szCs w:val="24"/>
        </w:rPr>
        <w:t>乙方现场服务及管理人员必须遵守甲方相关安全生产管理制度，并接受甲方监督、检查、考核。若乙方人员发生安全事故，甲方不承担任何责任。</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7.3</w:t>
      </w:r>
      <w:r>
        <w:rPr>
          <w:rFonts w:hint="eastAsia" w:asciiTheme="minorEastAsia" w:hAnsiTheme="minorEastAsia"/>
          <w:bCs/>
          <w:sz w:val="24"/>
          <w:szCs w:val="24"/>
        </w:rPr>
        <w:t>乙方负责染色技术方案，生产时提供跟班技术服务。提供添加控制设备并承担其维护、检修费用。该添加、控制设备的所有权属于乙方。在本合同终止后，该添加、控制设备的使用权由乙方决定。双方联系和重要要求，通过书面函件来往，接受方代表明示意见和签字签收。</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7.4</w:t>
      </w:r>
      <w:r>
        <w:rPr>
          <w:rFonts w:hint="eastAsia" w:asciiTheme="minorEastAsia" w:hAnsiTheme="minorEastAsia"/>
          <w:bCs/>
          <w:sz w:val="24"/>
          <w:szCs w:val="24"/>
        </w:rPr>
        <w:t>乙方货物风险自行承担。</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7.5</w:t>
      </w:r>
      <w:r>
        <w:rPr>
          <w:rFonts w:hint="eastAsia" w:asciiTheme="minorEastAsia" w:hAnsiTheme="minorEastAsia"/>
          <w:bCs/>
          <w:sz w:val="24"/>
          <w:szCs w:val="24"/>
        </w:rPr>
        <w:t>运输车辆进入厂区后，乙方遵守安全管理制度，甲方安全环保部门有权进行日常安全监督检查、考核。</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7.6</w:t>
      </w:r>
      <w:r>
        <w:rPr>
          <w:rFonts w:hint="eastAsia" w:asciiTheme="minorEastAsia" w:hAnsiTheme="minorEastAsia"/>
          <w:bCs/>
          <w:sz w:val="24"/>
          <w:szCs w:val="24"/>
        </w:rPr>
        <w:t>本合同履行期限内，由于乙方原因导致影响甲方正常生产作业的，造成甲方损失的，甲方有权要求乙方赔偿或解除本合同，赔偿金额经双方协商书面确认后，直接从化肥着色、包裹技术服务费用中进行扣除，双方对赔付金额不能协商一致时，按本合同第1</w:t>
      </w:r>
      <w:r>
        <w:rPr>
          <w:rFonts w:asciiTheme="minorEastAsia" w:hAnsiTheme="minorEastAsia"/>
          <w:bCs/>
          <w:sz w:val="24"/>
          <w:szCs w:val="24"/>
        </w:rPr>
        <w:t>1.2</w:t>
      </w:r>
      <w:r>
        <w:rPr>
          <w:rFonts w:hint="eastAsia" w:asciiTheme="minorEastAsia" w:hAnsiTheme="minorEastAsia"/>
          <w:bCs/>
          <w:sz w:val="24"/>
          <w:szCs w:val="24"/>
        </w:rPr>
        <w:t>条执行。</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7.7</w:t>
      </w:r>
      <w:r>
        <w:rPr>
          <w:rFonts w:hint="eastAsia" w:asciiTheme="minorEastAsia" w:hAnsiTheme="minorEastAsia"/>
          <w:bCs/>
          <w:sz w:val="24"/>
          <w:szCs w:val="24"/>
        </w:rPr>
        <w:t>乙方在使用、操作机器设备进行作业过程中出现的安全事故、交通事故或发生其它事故，造成乙方人员或其他人员人身伤亡、财产损失的，由乙方承担全部法律责任，甲方不承担任何责任。若因此牵连甲方承担责任，则甲方对乙方享有全部追偿权，且甲方有权解除本合同。</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7.8</w:t>
      </w:r>
      <w:r>
        <w:rPr>
          <w:rFonts w:hint="eastAsia" w:asciiTheme="minorEastAsia" w:hAnsiTheme="minorEastAsia"/>
          <w:bCs/>
          <w:sz w:val="24"/>
          <w:szCs w:val="24"/>
        </w:rPr>
        <w:t>自行解决所属人员的劳保防护用品、食宿、交通、工伤保险问题。</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7.9</w:t>
      </w:r>
      <w:r>
        <w:rPr>
          <w:rFonts w:hint="eastAsia" w:asciiTheme="minorEastAsia" w:hAnsiTheme="minorEastAsia"/>
          <w:bCs/>
          <w:sz w:val="24"/>
          <w:szCs w:val="24"/>
        </w:rPr>
        <w:t>负责作业区域内的环境卫生工作。</w:t>
      </w:r>
    </w:p>
    <w:p>
      <w:pPr>
        <w:adjustRightInd w:val="0"/>
        <w:snapToGrid w:val="0"/>
        <w:spacing w:line="360" w:lineRule="auto"/>
        <w:rPr>
          <w:rFonts w:asciiTheme="minorEastAsia" w:hAnsiTheme="minorEastAsia"/>
          <w:b/>
          <w:bCs/>
          <w:sz w:val="24"/>
          <w:szCs w:val="24"/>
        </w:rPr>
      </w:pPr>
      <w:r>
        <w:rPr>
          <w:rFonts w:asciiTheme="minorEastAsia" w:hAnsiTheme="minorEastAsia"/>
          <w:b/>
          <w:bCs/>
          <w:sz w:val="24"/>
          <w:szCs w:val="24"/>
        </w:rPr>
        <w:t>8</w:t>
      </w:r>
      <w:r>
        <w:rPr>
          <w:rFonts w:hint="eastAsia" w:asciiTheme="minorEastAsia" w:hAnsiTheme="minorEastAsia"/>
          <w:b/>
          <w:bCs/>
          <w:sz w:val="24"/>
          <w:szCs w:val="24"/>
        </w:rPr>
        <w:t xml:space="preserve"> 安全生产责任</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8.1</w:t>
      </w:r>
      <w:r>
        <w:rPr>
          <w:rFonts w:hint="eastAsia" w:asciiTheme="minorEastAsia" w:hAnsiTheme="minorEastAsia"/>
          <w:bCs/>
          <w:sz w:val="24"/>
          <w:szCs w:val="24"/>
        </w:rPr>
        <w:t>在合同执行过程中，甲方与乙方必须遵守《中华人民共和国安全生产法》相关管理规定，乙方须按照规定建立健全安全管理机构，确定专职安全员，并执行甲方的安全管理规定。</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 xml:space="preserve">8.2 </w:t>
      </w:r>
      <w:r>
        <w:rPr>
          <w:rFonts w:hint="eastAsia" w:asciiTheme="minorEastAsia" w:hAnsiTheme="minorEastAsia"/>
          <w:bCs/>
          <w:sz w:val="24"/>
          <w:szCs w:val="24"/>
        </w:rPr>
        <w:t>乙方人员必须接受甲方安全部门的安全教育、安全管理、监督、检查，乙方人员在作业时，如不按甲方安全规定作业，甲方有权停止其作业，按甲方安全管理规定进行处罚。</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8.3</w:t>
      </w:r>
      <w:r>
        <w:rPr>
          <w:rFonts w:hint="eastAsia" w:asciiTheme="minorEastAsia" w:hAnsiTheme="minorEastAsia"/>
          <w:bCs/>
          <w:sz w:val="24"/>
          <w:szCs w:val="24"/>
        </w:rPr>
        <w:t>甲方和乙方关于安全、健康、环境等方面的具体要求见附件《安全生产管理协议》。</w:t>
      </w:r>
    </w:p>
    <w:p>
      <w:pPr>
        <w:adjustRightInd w:val="0"/>
        <w:snapToGrid w:val="0"/>
        <w:spacing w:line="360" w:lineRule="auto"/>
        <w:rPr>
          <w:rFonts w:asciiTheme="minorEastAsia" w:hAnsiTheme="minorEastAsia"/>
          <w:b/>
          <w:bCs/>
          <w:sz w:val="24"/>
          <w:szCs w:val="24"/>
        </w:rPr>
      </w:pPr>
      <w:r>
        <w:rPr>
          <w:rFonts w:asciiTheme="minorEastAsia" w:hAnsiTheme="minorEastAsia"/>
          <w:b/>
          <w:bCs/>
          <w:sz w:val="24"/>
          <w:szCs w:val="24"/>
        </w:rPr>
        <w:t>9</w:t>
      </w:r>
      <w:r>
        <w:rPr>
          <w:rFonts w:hint="eastAsia" w:asciiTheme="minorEastAsia" w:hAnsiTheme="minorEastAsia"/>
          <w:b/>
          <w:bCs/>
          <w:sz w:val="24"/>
          <w:szCs w:val="24"/>
        </w:rPr>
        <w:t xml:space="preserve"> 不可抗力</w:t>
      </w:r>
    </w:p>
    <w:p>
      <w:pPr>
        <w:adjustRightInd w:val="0"/>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合同履行过程中任何一方由于战争、严重雪灾、火灾、水灾、台风、地震以及其它经双方同意属于不可抗力的事故，致使合同履行受阻时，受事故影响的一方应在不可抗力的事故发生后尽快以书面形式通知另一方，并在事故发生后 14 天内，将有关部门出具的证明文件寄给或送给另一方。如果不可抗力影响时间持（延）续 120 天以上，双方应通过友好协商在合理的时间内达成进一步履行合同的协议。</w:t>
      </w:r>
    </w:p>
    <w:p>
      <w:pPr>
        <w:adjustRightInd w:val="0"/>
        <w:snapToGrid w:val="0"/>
        <w:spacing w:line="360" w:lineRule="auto"/>
        <w:rPr>
          <w:rFonts w:asciiTheme="minorEastAsia" w:hAnsiTheme="minorEastAsia"/>
          <w:b/>
          <w:bCs/>
          <w:sz w:val="24"/>
          <w:szCs w:val="24"/>
        </w:rPr>
      </w:pPr>
      <w:r>
        <w:rPr>
          <w:rFonts w:hint="eastAsia" w:asciiTheme="minorEastAsia" w:hAnsiTheme="minorEastAsia"/>
          <w:b/>
          <w:bCs/>
          <w:sz w:val="24"/>
          <w:szCs w:val="24"/>
        </w:rPr>
        <w:t>1</w:t>
      </w:r>
      <w:r>
        <w:rPr>
          <w:rFonts w:asciiTheme="minorEastAsia" w:hAnsiTheme="minorEastAsia"/>
          <w:b/>
          <w:bCs/>
          <w:sz w:val="24"/>
          <w:szCs w:val="24"/>
        </w:rPr>
        <w:t>0</w:t>
      </w:r>
      <w:r>
        <w:rPr>
          <w:rFonts w:hint="eastAsia" w:asciiTheme="minorEastAsia" w:hAnsiTheme="minorEastAsia"/>
          <w:b/>
          <w:bCs/>
          <w:sz w:val="24"/>
          <w:szCs w:val="24"/>
        </w:rPr>
        <w:t xml:space="preserve"> 合同的变更、解除、终止</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10.</w:t>
      </w:r>
      <w:r>
        <w:rPr>
          <w:rFonts w:hint="eastAsia" w:asciiTheme="minorEastAsia" w:hAnsiTheme="minorEastAsia"/>
          <w:bCs/>
          <w:sz w:val="24"/>
          <w:szCs w:val="24"/>
        </w:rPr>
        <w:t>1甲乙方在合同有效期限内不得随意变更或解除合同。</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 xml:space="preserve">10.2 </w:t>
      </w:r>
      <w:r>
        <w:rPr>
          <w:rFonts w:hint="eastAsia" w:asciiTheme="minorEastAsia" w:hAnsiTheme="minorEastAsia"/>
          <w:bCs/>
          <w:sz w:val="24"/>
          <w:szCs w:val="24"/>
        </w:rPr>
        <w:t>乙方负责的化肥着色、包裹技术服务业务不能满足连续生产需要，甲方有权单方面终止本合同。</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10.3</w:t>
      </w:r>
      <w:r>
        <w:rPr>
          <w:rFonts w:hint="eastAsia" w:asciiTheme="minorEastAsia" w:hAnsiTheme="minorEastAsia"/>
          <w:bCs/>
          <w:sz w:val="24"/>
          <w:szCs w:val="24"/>
        </w:rPr>
        <w:t>甲方不能按时结算支付货款的，乙方有权单方面终止本合同。</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10.4</w:t>
      </w:r>
      <w:r>
        <w:rPr>
          <w:rFonts w:hint="eastAsia" w:asciiTheme="minorEastAsia" w:hAnsiTheme="minorEastAsia"/>
          <w:bCs/>
          <w:sz w:val="24"/>
          <w:szCs w:val="24"/>
        </w:rPr>
        <w:t>未尽事宜双方另行协商并以补充协议的形式完善。</w:t>
      </w:r>
    </w:p>
    <w:p>
      <w:pPr>
        <w:adjustRightInd w:val="0"/>
        <w:snapToGrid w:val="0"/>
        <w:spacing w:line="360" w:lineRule="auto"/>
        <w:rPr>
          <w:rFonts w:asciiTheme="minorEastAsia" w:hAnsiTheme="minorEastAsia"/>
          <w:b/>
          <w:bCs/>
          <w:sz w:val="24"/>
          <w:szCs w:val="24"/>
        </w:rPr>
      </w:pPr>
      <w:r>
        <w:rPr>
          <w:rFonts w:hint="eastAsia" w:asciiTheme="minorEastAsia" w:hAnsiTheme="minorEastAsia"/>
          <w:b/>
          <w:bCs/>
          <w:sz w:val="24"/>
          <w:szCs w:val="24"/>
        </w:rPr>
        <w:t>1</w:t>
      </w:r>
      <w:r>
        <w:rPr>
          <w:rFonts w:asciiTheme="minorEastAsia" w:hAnsiTheme="minorEastAsia"/>
          <w:b/>
          <w:bCs/>
          <w:sz w:val="24"/>
          <w:szCs w:val="24"/>
        </w:rPr>
        <w:t>1</w:t>
      </w:r>
      <w:r>
        <w:rPr>
          <w:rFonts w:hint="eastAsia" w:asciiTheme="minorEastAsia" w:hAnsiTheme="minorEastAsia"/>
          <w:b/>
          <w:bCs/>
          <w:sz w:val="24"/>
          <w:szCs w:val="24"/>
        </w:rPr>
        <w:t xml:space="preserve"> 解决争议的方式</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11.1</w:t>
      </w:r>
      <w:r>
        <w:rPr>
          <w:rFonts w:hint="eastAsia" w:asciiTheme="minorEastAsia" w:hAnsiTheme="minorEastAsia"/>
          <w:bCs/>
          <w:sz w:val="24"/>
          <w:szCs w:val="24"/>
        </w:rPr>
        <w:t>在合同履行期间内，甲乙双方就生产工艺、技术指标判断意见出现争议的，甲乙双方应出具书面函件，并尽快达成书面处理方案以便维持甲方正常生产。</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11.</w:t>
      </w:r>
      <w:r>
        <w:rPr>
          <w:rFonts w:hint="eastAsia" w:asciiTheme="minorEastAsia" w:hAnsiTheme="minorEastAsia"/>
          <w:bCs/>
          <w:sz w:val="24"/>
          <w:szCs w:val="24"/>
        </w:rPr>
        <w:t>2履行本合同发生纠纷，双方应通过友好协商解决争议。经协商不能达成一致解决意见的，任何一方均有权向甲方所在地有管辖权的人民法院提起诉讼解决。</w:t>
      </w:r>
    </w:p>
    <w:p>
      <w:pPr>
        <w:adjustRightInd w:val="0"/>
        <w:snapToGrid w:val="0"/>
        <w:spacing w:line="360" w:lineRule="auto"/>
        <w:rPr>
          <w:rFonts w:asciiTheme="minorEastAsia" w:hAnsiTheme="minorEastAsia"/>
          <w:b/>
          <w:bCs/>
          <w:sz w:val="24"/>
          <w:szCs w:val="24"/>
        </w:rPr>
      </w:pPr>
      <w:r>
        <w:rPr>
          <w:rFonts w:hint="eastAsia" w:asciiTheme="minorEastAsia" w:hAnsiTheme="minorEastAsia"/>
          <w:b/>
          <w:bCs/>
          <w:sz w:val="24"/>
          <w:szCs w:val="24"/>
        </w:rPr>
        <w:t>1</w:t>
      </w:r>
      <w:r>
        <w:rPr>
          <w:rFonts w:asciiTheme="minorEastAsia" w:hAnsiTheme="minorEastAsia"/>
          <w:b/>
          <w:bCs/>
          <w:sz w:val="24"/>
          <w:szCs w:val="24"/>
        </w:rPr>
        <w:t>2</w:t>
      </w:r>
      <w:r>
        <w:rPr>
          <w:rFonts w:hint="eastAsia" w:asciiTheme="minorEastAsia" w:hAnsiTheme="minorEastAsia"/>
          <w:b/>
          <w:bCs/>
          <w:sz w:val="24"/>
          <w:szCs w:val="24"/>
        </w:rPr>
        <w:t xml:space="preserve"> 其他</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12.1</w:t>
      </w:r>
      <w:r>
        <w:rPr>
          <w:rFonts w:hint="eastAsia" w:asciiTheme="minorEastAsia" w:hAnsiTheme="minorEastAsia"/>
          <w:bCs/>
          <w:sz w:val="24"/>
          <w:szCs w:val="24"/>
        </w:rPr>
        <w:t>本合同履行期内，一方向另一方发出的通知或函件，均应以书面形式送达相应一方，双方均同意，书面形式包括通知书、信件、传真、电报，电子邮件及数据电文经双方确认的，亦可构成有效形式。</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12.2</w:t>
      </w:r>
      <w:r>
        <w:rPr>
          <w:rFonts w:hint="eastAsia" w:asciiTheme="minorEastAsia" w:hAnsiTheme="minorEastAsia"/>
          <w:bCs/>
          <w:sz w:val="24"/>
          <w:szCs w:val="24"/>
        </w:rPr>
        <w:t>甲、乙双方保证在本合同履行期间，所填联络方式为有效联络方式，若有变更，变更一方应当在变更发生后 5日内向另一方发出书面通知。</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12.3</w:t>
      </w:r>
      <w:r>
        <w:rPr>
          <w:rFonts w:hint="eastAsia" w:asciiTheme="minorEastAsia" w:hAnsiTheme="minorEastAsia"/>
          <w:bCs/>
          <w:sz w:val="24"/>
          <w:szCs w:val="24"/>
        </w:rPr>
        <w:t>甲、乙双方可就本合同未尽事宜达成补充协议，补充协议与本合同具有同等法律效力。</w:t>
      </w:r>
    </w:p>
    <w:p>
      <w:pPr>
        <w:adjustRightInd w:val="0"/>
        <w:snapToGrid w:val="0"/>
        <w:spacing w:line="360" w:lineRule="auto"/>
        <w:rPr>
          <w:rFonts w:asciiTheme="minorEastAsia" w:hAnsiTheme="minorEastAsia"/>
          <w:bCs/>
          <w:sz w:val="24"/>
          <w:szCs w:val="24"/>
        </w:rPr>
      </w:pPr>
      <w:r>
        <w:rPr>
          <w:rFonts w:asciiTheme="minorEastAsia" w:hAnsiTheme="minorEastAsia"/>
          <w:bCs/>
          <w:sz w:val="24"/>
          <w:szCs w:val="24"/>
        </w:rPr>
        <w:t>12.4</w:t>
      </w:r>
      <w:r>
        <w:rPr>
          <w:rFonts w:hint="eastAsia" w:asciiTheme="minorEastAsia" w:hAnsiTheme="minorEastAsia"/>
          <w:bCs/>
          <w:sz w:val="24"/>
          <w:szCs w:val="24"/>
        </w:rPr>
        <w:t>本合同自双方签字盖章后生效。本合同一式肆份，甲方执叁份，乙方执壹份。</w:t>
      </w:r>
    </w:p>
    <w:p>
      <w:pPr>
        <w:adjustRightInd w:val="0"/>
        <w:snapToGrid w:val="0"/>
        <w:spacing w:line="360" w:lineRule="auto"/>
        <w:rPr>
          <w:rFonts w:asciiTheme="minorEastAsia" w:hAnsiTheme="minorEastAsia"/>
          <w:b/>
          <w:sz w:val="24"/>
          <w:szCs w:val="24"/>
        </w:rPr>
      </w:pPr>
      <w:r>
        <w:rPr>
          <w:rFonts w:asciiTheme="minorEastAsia" w:hAnsiTheme="minorEastAsia"/>
          <w:b/>
          <w:sz w:val="24"/>
          <w:szCs w:val="24"/>
        </w:rPr>
        <w:t>13</w:t>
      </w:r>
      <w:r>
        <w:rPr>
          <w:rFonts w:hint="eastAsia" w:asciiTheme="minorEastAsia" w:hAnsiTheme="minorEastAsia"/>
          <w:b/>
          <w:sz w:val="24"/>
          <w:szCs w:val="24"/>
        </w:rPr>
        <w:t xml:space="preserve"> 考核</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13.1</w:t>
      </w:r>
      <w:r>
        <w:rPr>
          <w:rFonts w:hint="eastAsia" w:asciiTheme="minorEastAsia" w:hAnsiTheme="minorEastAsia"/>
          <w:sz w:val="24"/>
          <w:szCs w:val="24"/>
        </w:rPr>
        <w:t>甲方生产、安全、工艺、劳动纪律方面的管理规定同样适用于乙方人员。</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13.2</w:t>
      </w:r>
      <w:r>
        <w:rPr>
          <w:rFonts w:hint="eastAsia" w:asciiTheme="minorEastAsia" w:hAnsiTheme="minorEastAsia"/>
          <w:sz w:val="24"/>
          <w:szCs w:val="24"/>
        </w:rPr>
        <w:t xml:space="preserve"> 考核内容和考核指标</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13.2.1</w:t>
      </w:r>
      <w:r>
        <w:rPr>
          <w:rFonts w:hint="eastAsia" w:asciiTheme="minorEastAsia" w:hAnsiTheme="minorEastAsia"/>
          <w:sz w:val="24"/>
          <w:szCs w:val="24"/>
        </w:rPr>
        <w:t>下线褐色磷酸二铵产品颜色指标控制： L值24-27、 a值4-6、b值8-12，不在此指标范围内，每次扣2000元。</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2.2乙方必须保证计量的准确性和显示数据的真实性，内染和外包裹油流量负偏差≤10%，若弄虚作假每发现一次考核1000元/次。</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3</w:t>
      </w:r>
      <w:r>
        <w:rPr>
          <w:rFonts w:hint="eastAsia" w:asciiTheme="minorEastAsia" w:hAnsiTheme="minorEastAsia"/>
          <w:sz w:val="24"/>
          <w:szCs w:val="24"/>
        </w:rPr>
        <w:t>因处理染色设备或吹扫管线等发生染色剂中断或过量，未及时通知生产人员打废料区，考核1000元/次。</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4</w:t>
      </w:r>
      <w:r>
        <w:rPr>
          <w:rFonts w:hint="eastAsia" w:asciiTheme="minorEastAsia" w:hAnsiTheme="minorEastAsia"/>
          <w:sz w:val="24"/>
          <w:szCs w:val="24"/>
        </w:rPr>
        <w:t xml:space="preserve">生产过程中，如染色设备、染色质量出现异常时，乙方15分钟内必须到现场进行处理，否则考核500元/次。 </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5</w:t>
      </w:r>
      <w:r>
        <w:rPr>
          <w:rFonts w:hint="eastAsia" w:asciiTheme="minorEastAsia" w:hAnsiTheme="minorEastAsia"/>
          <w:sz w:val="24"/>
          <w:szCs w:val="24"/>
        </w:rPr>
        <w:t>在同一产品堆子中出现颜色明显分层的（过氨化粒子例外），考核500元/堆。</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6</w:t>
      </w:r>
      <w:r>
        <w:rPr>
          <w:rFonts w:hint="eastAsia" w:asciiTheme="minorEastAsia" w:hAnsiTheme="minorEastAsia"/>
          <w:sz w:val="24"/>
          <w:szCs w:val="24"/>
        </w:rPr>
        <w:t>因乙方原因造成内着色剂储槽溢出每次扣500元；因乙方原因造成外着色剂储槽溢出每次扣500元。</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使用过程中因乙方造粒助剂和化肥防结块包膜剂质量问题造成甲方运输皮带粘结、出现油坨现象，以双方现场确认时间为起点，乙方必须在3个工作日内整改，并提出预防措施。</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2.</w:t>
      </w:r>
      <w:r>
        <w:rPr>
          <w:rFonts w:asciiTheme="minorEastAsia" w:hAnsiTheme="minorEastAsia"/>
          <w:sz w:val="24"/>
          <w:szCs w:val="24"/>
        </w:rPr>
        <w:t>8</w:t>
      </w:r>
      <w:r>
        <w:rPr>
          <w:rFonts w:hint="eastAsia" w:asciiTheme="minorEastAsia" w:hAnsiTheme="minorEastAsia"/>
          <w:sz w:val="24"/>
          <w:szCs w:val="24"/>
        </w:rPr>
        <w:t>现场测下线产品颜色的L、a、b值仪器甲乙双方共用。</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13.</w:t>
      </w:r>
      <w:r>
        <w:rPr>
          <w:rFonts w:hint="eastAsia" w:asciiTheme="minorEastAsia" w:hAnsiTheme="minorEastAsia"/>
          <w:sz w:val="24"/>
          <w:szCs w:val="24"/>
        </w:rPr>
        <w:t>3考核结算：每月10日前，由磷肥厂对补充协议的相关考核统计上报生产技术部，生产技术部从结算费用中扣除。</w:t>
      </w:r>
    </w:p>
    <w:p>
      <w:pPr>
        <w:adjustRightInd w:val="0"/>
        <w:snapToGrid w:val="0"/>
        <w:spacing w:line="360" w:lineRule="auto"/>
        <w:rPr>
          <w:rFonts w:asciiTheme="minorEastAsia" w:hAnsiTheme="minorEastAsia"/>
          <w:b/>
          <w:sz w:val="24"/>
          <w:szCs w:val="24"/>
        </w:rPr>
      </w:pPr>
      <w:r>
        <w:rPr>
          <w:rFonts w:asciiTheme="minorEastAsia" w:hAnsiTheme="minorEastAsia"/>
          <w:b/>
          <w:sz w:val="24"/>
          <w:szCs w:val="24"/>
        </w:rPr>
        <w:t>14</w:t>
      </w:r>
      <w:r>
        <w:rPr>
          <w:rFonts w:hint="eastAsia" w:asciiTheme="minorEastAsia" w:hAnsiTheme="minorEastAsia"/>
          <w:b/>
          <w:sz w:val="24"/>
          <w:szCs w:val="24"/>
        </w:rPr>
        <w:t xml:space="preserve">  保密及违约责任</w: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t>14.1</w:t>
      </w:r>
      <w:r>
        <w:rPr>
          <w:rFonts w:hint="eastAsia" w:asciiTheme="minorEastAsia" w:hAnsiTheme="minorEastAsia"/>
          <w:sz w:val="24"/>
          <w:szCs w:val="24"/>
        </w:rPr>
        <w:t>双方签订《保密协议》</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特别提示：</w:t>
      </w:r>
    </w:p>
    <w:p>
      <w:pPr>
        <w:adjustRightInd w:val="0"/>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1、本章所示为合同主要条款，具体内容以中标单位与询价人签订的合同为准。</w:t>
      </w: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adjustRightInd w:val="0"/>
        <w:snapToGrid w:val="0"/>
        <w:spacing w:line="380" w:lineRule="exact"/>
        <w:ind w:firstLine="480" w:firstLineChars="200"/>
        <w:rPr>
          <w:rFonts w:ascii="仿宋" w:hAnsi="仿宋" w:eastAsia="仿宋"/>
          <w:bCs/>
          <w:sz w:val="24"/>
          <w:szCs w:val="24"/>
        </w:rPr>
      </w:pPr>
    </w:p>
    <w:p>
      <w:pPr>
        <w:spacing w:line="360" w:lineRule="auto"/>
        <w:jc w:val="left"/>
        <w:rPr>
          <w:rFonts w:asciiTheme="minorEastAsia" w:hAnsiTheme="minorEastAsia" w:cstheme="minorEastAsia"/>
          <w:b/>
          <w:sz w:val="24"/>
          <w:szCs w:val="24"/>
        </w:rPr>
      </w:pPr>
    </w:p>
    <w:p>
      <w:pPr>
        <w:pStyle w:val="2"/>
        <w:spacing w:line="360" w:lineRule="auto"/>
        <w:jc w:val="center"/>
        <w:rPr>
          <w:rFonts w:ascii="宋体" w:hAnsi="宋体" w:cs="宋体"/>
          <w:w w:val="90"/>
          <w:lang w:val="zh-CN"/>
        </w:rPr>
      </w:pPr>
      <w:bookmarkStart w:id="81" w:name="_Toc3475"/>
      <w:r>
        <w:rPr>
          <w:rFonts w:hint="eastAsia" w:ascii="宋体" w:hAnsi="宋体" w:cs="宋体"/>
          <w:w w:val="90"/>
          <w:lang w:val="zh-CN"/>
        </w:rPr>
        <w:t>第七章  评标方法及评标标准</w:t>
      </w:r>
      <w:bookmarkEnd w:id="81"/>
    </w:p>
    <w:p>
      <w:pPr>
        <w:jc w:val="center"/>
        <w:rPr>
          <w:b/>
          <w:sz w:val="32"/>
          <w:szCs w:val="32"/>
        </w:rPr>
      </w:pPr>
      <w:r>
        <w:rPr>
          <w:rFonts w:hint="eastAsia"/>
          <w:b/>
          <w:sz w:val="32"/>
          <w:szCs w:val="32"/>
        </w:rPr>
        <w:t>评标方法及评标标准</w:t>
      </w:r>
    </w:p>
    <w:p>
      <w:pPr>
        <w:spacing w:line="360" w:lineRule="auto"/>
        <w:rPr>
          <w:rFonts w:ascii="宋体" w:hAnsi="宋体"/>
          <w:sz w:val="24"/>
        </w:rPr>
      </w:pPr>
      <w:r>
        <w:rPr>
          <w:rFonts w:hint="eastAsia" w:ascii="宋体" w:hAnsi="宋体"/>
          <w:sz w:val="24"/>
          <w:szCs w:val="24"/>
        </w:rPr>
        <w:t>本项目采用综合评分法，总分100分。</w:t>
      </w:r>
    </w:p>
    <w:p>
      <w:pPr>
        <w:rPr>
          <w:rFonts w:ascii="宋体" w:hAnsi="宋体"/>
          <w:sz w:val="30"/>
          <w:szCs w:val="30"/>
        </w:rPr>
      </w:pPr>
      <w:bookmarkStart w:id="82" w:name="_Toc423941923"/>
      <w:r>
        <w:rPr>
          <w:rFonts w:hint="eastAsia" w:ascii="宋体" w:hAnsi="宋体"/>
          <w:sz w:val="30"/>
          <w:szCs w:val="30"/>
        </w:rPr>
        <w:t>1. 初步评审（符合性检查）</w:t>
      </w:r>
      <w:bookmarkEnd w:id="82"/>
    </w:p>
    <w:tbl>
      <w:tblPr>
        <w:tblStyle w:val="18"/>
        <w:tblW w:w="9376" w:type="dxa"/>
        <w:tblInd w:w="108" w:type="dxa"/>
        <w:tblLayout w:type="fixed"/>
        <w:tblCellMar>
          <w:top w:w="0" w:type="dxa"/>
          <w:left w:w="108" w:type="dxa"/>
          <w:bottom w:w="0" w:type="dxa"/>
          <w:right w:w="108" w:type="dxa"/>
        </w:tblCellMar>
      </w:tblPr>
      <w:tblGrid>
        <w:gridCol w:w="1276"/>
        <w:gridCol w:w="8100"/>
      </w:tblGrid>
      <w:tr>
        <w:tblPrEx>
          <w:tblCellMar>
            <w:top w:w="0" w:type="dxa"/>
            <w:left w:w="108" w:type="dxa"/>
            <w:bottom w:w="0" w:type="dxa"/>
            <w:right w:w="108" w:type="dxa"/>
          </w:tblCellMar>
        </w:tblPrEx>
        <w:trPr>
          <w:cantSplit/>
          <w:trHeight w:val="680" w:hRule="exact"/>
        </w:trPr>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
                <w:bCs/>
                <w:kern w:val="0"/>
                <w:sz w:val="24"/>
                <w:szCs w:val="24"/>
              </w:rPr>
            </w:pPr>
            <w:r>
              <w:rPr>
                <w:rFonts w:hint="eastAsia" w:ascii="宋体" w:cs="宋体"/>
                <w:b/>
                <w:bCs/>
                <w:kern w:val="0"/>
                <w:sz w:val="24"/>
                <w:szCs w:val="24"/>
              </w:rPr>
              <w:t>评审序号</w:t>
            </w:r>
          </w:p>
        </w:tc>
        <w:tc>
          <w:tcPr>
            <w:tcW w:w="810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cs="宋体"/>
                <w:b/>
                <w:bCs/>
                <w:kern w:val="0"/>
                <w:sz w:val="24"/>
                <w:szCs w:val="24"/>
              </w:rPr>
            </w:pPr>
            <w:r>
              <w:rPr>
                <w:rFonts w:hint="eastAsia" w:ascii="宋体" w:cs="宋体"/>
                <w:b/>
                <w:bCs/>
                <w:kern w:val="0"/>
                <w:sz w:val="24"/>
                <w:szCs w:val="24"/>
              </w:rPr>
              <w:t>评审标准和要求</w:t>
            </w:r>
          </w:p>
        </w:tc>
      </w:tr>
      <w:tr>
        <w:tblPrEx>
          <w:tblCellMar>
            <w:top w:w="0" w:type="dxa"/>
            <w:left w:w="108" w:type="dxa"/>
            <w:bottom w:w="0" w:type="dxa"/>
            <w:right w:w="108" w:type="dxa"/>
          </w:tblCellMar>
        </w:tblPrEx>
        <w:trPr>
          <w:cantSplit/>
          <w:trHeight w:val="680" w:hRule="exac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100" w:type="dxa"/>
            <w:vMerge w:val="continue"/>
            <w:tcBorders>
              <w:top w:val="single" w:color="auto" w:sz="4" w:space="0"/>
              <w:left w:val="single" w:color="auto" w:sz="4" w:space="0"/>
              <w:bottom w:val="single" w:color="000000" w:sz="4" w:space="0"/>
              <w:right w:val="single" w:color="000000" w:sz="4" w:space="0"/>
            </w:tcBorders>
            <w:vAlign w:val="center"/>
          </w:tcPr>
          <w:p>
            <w:pPr>
              <w:rPr>
                <w:sz w:val="24"/>
                <w:szCs w:val="24"/>
              </w:rPr>
            </w:pP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Cs/>
                <w:kern w:val="0"/>
                <w:sz w:val="24"/>
                <w:szCs w:val="24"/>
              </w:rPr>
            </w:pPr>
            <w:r>
              <w:rPr>
                <w:rFonts w:hint="eastAsia" w:ascii="宋体" w:cs="宋体"/>
                <w:bCs/>
                <w:kern w:val="0"/>
                <w:sz w:val="24"/>
                <w:szCs w:val="24"/>
              </w:rPr>
              <w:t>1</w:t>
            </w:r>
          </w:p>
        </w:tc>
        <w:tc>
          <w:tcPr>
            <w:tcW w:w="8100" w:type="dxa"/>
            <w:tcBorders>
              <w:top w:val="nil"/>
              <w:left w:val="nil"/>
              <w:bottom w:val="single" w:color="auto" w:sz="4" w:space="0"/>
              <w:right w:val="single" w:color="auto" w:sz="4" w:space="0"/>
            </w:tcBorders>
            <w:shd w:val="clear" w:color="auto" w:fill="auto"/>
            <w:vAlign w:val="center"/>
          </w:tcPr>
          <w:p>
            <w:pPr>
              <w:widowControl/>
              <w:rPr>
                <w:rFonts w:ascii="宋体" w:cs="宋体"/>
                <w:bCs/>
                <w:kern w:val="0"/>
                <w:sz w:val="24"/>
                <w:szCs w:val="24"/>
              </w:rPr>
            </w:pPr>
            <w:r>
              <w:rPr>
                <w:rFonts w:hint="eastAsia" w:ascii="宋体" w:cs="宋体"/>
                <w:bCs/>
                <w:kern w:val="0"/>
                <w:sz w:val="24"/>
                <w:szCs w:val="24"/>
              </w:rPr>
              <w:t>资质文件</w:t>
            </w:r>
            <w:r>
              <w:rPr>
                <w:rFonts w:hint="eastAsia" w:ascii="宋体" w:hAnsi="宋体"/>
                <w:bCs/>
                <w:sz w:val="24"/>
                <w:szCs w:val="24"/>
              </w:rPr>
              <w:t>报价人须知前附表要求一致资质文件报价人与服务需求要求一致</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Cs/>
                <w:kern w:val="0"/>
                <w:sz w:val="24"/>
                <w:szCs w:val="24"/>
              </w:rPr>
            </w:pPr>
            <w:r>
              <w:rPr>
                <w:rFonts w:hint="eastAsia" w:ascii="宋体" w:cs="宋体"/>
                <w:bCs/>
                <w:kern w:val="0"/>
                <w:sz w:val="24"/>
                <w:szCs w:val="24"/>
              </w:rPr>
              <w:t>2</w:t>
            </w:r>
          </w:p>
        </w:tc>
        <w:tc>
          <w:tcPr>
            <w:tcW w:w="8100" w:type="dxa"/>
            <w:tcBorders>
              <w:top w:val="nil"/>
              <w:left w:val="nil"/>
              <w:bottom w:val="single" w:color="auto" w:sz="4" w:space="0"/>
              <w:right w:val="single" w:color="auto" w:sz="4" w:space="0"/>
            </w:tcBorders>
            <w:shd w:val="clear" w:color="auto" w:fill="auto"/>
            <w:vAlign w:val="center"/>
          </w:tcPr>
          <w:p>
            <w:pPr>
              <w:widowControl/>
              <w:rPr>
                <w:rFonts w:ascii="宋体" w:hAnsi="宋体"/>
                <w:bCs/>
                <w:sz w:val="24"/>
                <w:szCs w:val="24"/>
              </w:rPr>
            </w:pPr>
            <w:r>
              <w:rPr>
                <w:rFonts w:hint="eastAsia" w:ascii="宋体" w:hAnsi="宋体"/>
                <w:bCs/>
                <w:sz w:val="24"/>
                <w:szCs w:val="24"/>
              </w:rPr>
              <w:t>提供近三年年度审计报告（需提供复印件并盖公章）</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nil"/>
            </w:tcBorders>
            <w:shd w:val="clear" w:color="auto" w:fill="auto"/>
            <w:vAlign w:val="center"/>
          </w:tcPr>
          <w:p>
            <w:pPr>
              <w:spacing w:line="240" w:lineRule="atLeast"/>
              <w:jc w:val="center"/>
              <w:rPr>
                <w:rFonts w:ascii="宋体" w:hAnsi="宋体"/>
                <w:sz w:val="24"/>
                <w:szCs w:val="24"/>
              </w:rPr>
            </w:pPr>
            <w:r>
              <w:rPr>
                <w:rFonts w:hint="eastAsia" w:ascii="宋体" w:hAnsi="宋体"/>
                <w:sz w:val="24"/>
                <w:szCs w:val="24"/>
              </w:rPr>
              <w:t>3</w:t>
            </w:r>
          </w:p>
        </w:tc>
        <w:tc>
          <w:tcPr>
            <w:tcW w:w="8100" w:type="dxa"/>
            <w:tcBorders>
              <w:top w:val="nil"/>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sz w:val="24"/>
                <w:szCs w:val="24"/>
              </w:rPr>
            </w:pPr>
            <w:r>
              <w:rPr>
                <w:rFonts w:hint="eastAsia" w:ascii="宋体" w:hAnsi="宋体"/>
                <w:sz w:val="24"/>
                <w:szCs w:val="24"/>
              </w:rPr>
              <w:t>报价书有报价单位公章、法定代表人签字，或签字人有法定代表人有效委托书；</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nil"/>
            </w:tcBorders>
            <w:shd w:val="clear" w:color="auto" w:fill="auto"/>
            <w:vAlign w:val="center"/>
          </w:tcPr>
          <w:p>
            <w:pPr>
              <w:spacing w:line="240" w:lineRule="atLeast"/>
              <w:jc w:val="center"/>
              <w:rPr>
                <w:rFonts w:ascii="宋体" w:hAnsi="宋体"/>
                <w:sz w:val="24"/>
                <w:szCs w:val="24"/>
              </w:rPr>
            </w:pPr>
            <w:r>
              <w:rPr>
                <w:rFonts w:hint="eastAsia" w:ascii="宋体" w:hAnsi="宋体"/>
                <w:sz w:val="24"/>
                <w:szCs w:val="24"/>
              </w:rPr>
              <w:t>4</w:t>
            </w:r>
          </w:p>
        </w:tc>
        <w:tc>
          <w:tcPr>
            <w:tcW w:w="8100" w:type="dxa"/>
            <w:tcBorders>
              <w:top w:val="nil"/>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sz w:val="24"/>
                <w:szCs w:val="24"/>
              </w:rPr>
            </w:pPr>
            <w:r>
              <w:rPr>
                <w:rFonts w:hint="eastAsia" w:ascii="宋体" w:hAnsi="宋体"/>
                <w:sz w:val="24"/>
                <w:szCs w:val="24"/>
              </w:rPr>
              <w:t>报价人名称与营业执照一致且营业执照有效；</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nil"/>
            </w:tcBorders>
            <w:shd w:val="clear" w:color="auto" w:fill="auto"/>
            <w:vAlign w:val="center"/>
          </w:tcPr>
          <w:p>
            <w:pPr>
              <w:spacing w:line="240" w:lineRule="atLeast"/>
              <w:jc w:val="center"/>
              <w:rPr>
                <w:rFonts w:ascii="宋体" w:hAnsi="宋体"/>
                <w:sz w:val="24"/>
                <w:szCs w:val="24"/>
              </w:rPr>
            </w:pPr>
            <w:r>
              <w:rPr>
                <w:rFonts w:ascii="宋体" w:hAnsi="宋体"/>
                <w:sz w:val="24"/>
                <w:szCs w:val="24"/>
              </w:rPr>
              <w:t>5</w:t>
            </w:r>
          </w:p>
        </w:tc>
        <w:tc>
          <w:tcPr>
            <w:tcW w:w="8100" w:type="dxa"/>
            <w:tcBorders>
              <w:top w:val="nil"/>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snapToGrid w:val="0"/>
                <w:kern w:val="0"/>
                <w:sz w:val="24"/>
                <w:szCs w:val="24"/>
              </w:rPr>
            </w:pPr>
            <w:r>
              <w:rPr>
                <w:rFonts w:hint="eastAsia" w:ascii="宋体" w:hAnsi="宋体"/>
                <w:snapToGrid w:val="0"/>
                <w:kern w:val="0"/>
                <w:sz w:val="24"/>
                <w:szCs w:val="24"/>
              </w:rPr>
              <w:t>报价文件未附有询价人不能接受的条件；</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nil"/>
            </w:tcBorders>
            <w:shd w:val="clear" w:color="auto" w:fill="auto"/>
            <w:vAlign w:val="center"/>
          </w:tcPr>
          <w:p>
            <w:pPr>
              <w:spacing w:line="240" w:lineRule="atLeast"/>
              <w:jc w:val="center"/>
              <w:rPr>
                <w:rFonts w:ascii="宋体" w:hAnsi="宋体"/>
                <w:sz w:val="24"/>
                <w:szCs w:val="24"/>
              </w:rPr>
            </w:pPr>
            <w:r>
              <w:rPr>
                <w:rFonts w:ascii="宋体" w:hAnsi="宋体"/>
                <w:sz w:val="24"/>
                <w:szCs w:val="24"/>
              </w:rPr>
              <w:t>6</w:t>
            </w:r>
          </w:p>
        </w:tc>
        <w:tc>
          <w:tcPr>
            <w:tcW w:w="8100" w:type="dxa"/>
            <w:tcBorders>
              <w:top w:val="nil"/>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snapToGrid w:val="0"/>
                <w:kern w:val="0"/>
                <w:sz w:val="24"/>
                <w:szCs w:val="24"/>
              </w:rPr>
            </w:pPr>
            <w:r>
              <w:rPr>
                <w:rFonts w:hint="eastAsia" w:ascii="宋体" w:hAnsi="宋体"/>
                <w:snapToGrid w:val="0"/>
                <w:kern w:val="0"/>
                <w:sz w:val="24"/>
                <w:szCs w:val="24"/>
              </w:rPr>
              <w:t>报价文件符合第五章报价文件格式要求；</w:t>
            </w:r>
          </w:p>
        </w:tc>
      </w:tr>
      <w:tr>
        <w:tblPrEx>
          <w:tblCellMar>
            <w:top w:w="0" w:type="dxa"/>
            <w:left w:w="108" w:type="dxa"/>
            <w:bottom w:w="0" w:type="dxa"/>
            <w:right w:w="108" w:type="dxa"/>
          </w:tblCellMar>
        </w:tblPrEx>
        <w:trPr>
          <w:cantSplit/>
          <w:trHeight w:val="680" w:hRule="exact"/>
        </w:trPr>
        <w:tc>
          <w:tcPr>
            <w:tcW w:w="1276" w:type="dxa"/>
            <w:tcBorders>
              <w:top w:val="single" w:color="auto" w:sz="4" w:space="0"/>
              <w:left w:val="single" w:color="auto" w:sz="4" w:space="0"/>
              <w:bottom w:val="single" w:color="auto" w:sz="4" w:space="0"/>
              <w:right w:val="nil"/>
            </w:tcBorders>
            <w:shd w:val="clear" w:color="auto" w:fill="auto"/>
            <w:vAlign w:val="center"/>
          </w:tcPr>
          <w:p>
            <w:pPr>
              <w:spacing w:line="240" w:lineRule="atLeast"/>
              <w:jc w:val="center"/>
              <w:rPr>
                <w:rFonts w:ascii="宋体" w:hAnsi="宋体"/>
                <w:sz w:val="24"/>
                <w:szCs w:val="24"/>
              </w:rPr>
            </w:pPr>
            <w:r>
              <w:rPr>
                <w:rFonts w:ascii="宋体" w:hAnsi="宋体"/>
                <w:sz w:val="24"/>
                <w:szCs w:val="24"/>
              </w:rPr>
              <w:t>7</w:t>
            </w:r>
          </w:p>
        </w:tc>
        <w:tc>
          <w:tcPr>
            <w:tcW w:w="8100" w:type="dxa"/>
            <w:tcBorders>
              <w:top w:val="nil"/>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snapToGrid w:val="0"/>
                <w:kern w:val="0"/>
                <w:sz w:val="24"/>
                <w:szCs w:val="24"/>
              </w:rPr>
            </w:pPr>
            <w:r>
              <w:rPr>
                <w:rFonts w:hint="eastAsia" w:ascii="宋体" w:hAnsi="宋体"/>
                <w:snapToGrid w:val="0"/>
                <w:kern w:val="0"/>
                <w:sz w:val="24"/>
                <w:szCs w:val="24"/>
              </w:rPr>
              <w:t>满足询价文件报价有效期要求；</w:t>
            </w:r>
          </w:p>
        </w:tc>
      </w:tr>
    </w:tbl>
    <w:p>
      <w:pPr>
        <w:autoSpaceDE w:val="0"/>
        <w:autoSpaceDN w:val="0"/>
        <w:spacing w:line="360" w:lineRule="auto"/>
        <w:jc w:val="left"/>
        <w:rPr>
          <w:rFonts w:ascii="宋体" w:hAnsi="宋体"/>
          <w:b/>
          <w:szCs w:val="21"/>
        </w:rPr>
      </w:pPr>
      <w:r>
        <w:rPr>
          <w:rFonts w:hint="eastAsia" w:ascii="宋体" w:hAnsi="宋体"/>
          <w:b/>
          <w:szCs w:val="21"/>
        </w:rPr>
        <w:t>注：（1）以上内容不合格打“×”；合格的打“√”。评审结论相应的写“不合格”或“合格”。</w:t>
      </w:r>
    </w:p>
    <w:p>
      <w:pPr>
        <w:pStyle w:val="26"/>
        <w:numPr>
          <w:ilvl w:val="0"/>
          <w:numId w:val="2"/>
        </w:numPr>
        <w:ind w:firstLineChars="0"/>
        <w:rPr>
          <w:rFonts w:ascii="宋体" w:hAnsi="宋体"/>
          <w:b/>
        </w:rPr>
      </w:pPr>
      <w:r>
        <w:rPr>
          <w:rFonts w:hint="eastAsia" w:ascii="宋体" w:hAnsi="宋体"/>
          <w:b/>
        </w:rPr>
        <w:t>上述内容中有一项评审不合格的，报价按废标处理，不进入下一步评审。</w:t>
      </w:r>
      <w:bookmarkStart w:id="83" w:name="_Toc413743664"/>
      <w:bookmarkStart w:id="84" w:name="_Toc423941924"/>
      <w:bookmarkStart w:id="85" w:name="_Toc413743610"/>
    </w:p>
    <w:bookmarkEnd w:id="83"/>
    <w:bookmarkEnd w:id="84"/>
    <w:bookmarkEnd w:id="85"/>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r>
        <w:rPr>
          <w:rFonts w:hint="eastAsia" w:ascii="宋体" w:hAnsi="宋体"/>
          <w:sz w:val="30"/>
          <w:szCs w:val="30"/>
        </w:rPr>
        <w:t>2.评分表</w:t>
      </w:r>
    </w:p>
    <w:tbl>
      <w:tblPr>
        <w:tblStyle w:val="1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524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b/>
                <w:sz w:val="24"/>
                <w:szCs w:val="24"/>
              </w:rPr>
            </w:pPr>
            <w:r>
              <w:rPr>
                <w:rFonts w:hint="eastAsia" w:asciiTheme="minorEastAsia" w:hAnsiTheme="minorEastAsia"/>
                <w:b/>
                <w:sz w:val="24"/>
                <w:szCs w:val="24"/>
              </w:rPr>
              <w:t>评分内容</w:t>
            </w:r>
          </w:p>
        </w:tc>
        <w:tc>
          <w:tcPr>
            <w:tcW w:w="1276" w:type="dxa"/>
            <w:vAlign w:val="center"/>
          </w:tcPr>
          <w:p>
            <w:pPr>
              <w:jc w:val="center"/>
              <w:rPr>
                <w:rFonts w:asciiTheme="minorEastAsia" w:hAnsiTheme="minorEastAsia"/>
                <w:b/>
                <w:sz w:val="24"/>
                <w:szCs w:val="24"/>
              </w:rPr>
            </w:pPr>
            <w:r>
              <w:rPr>
                <w:rFonts w:hint="eastAsia" w:asciiTheme="minorEastAsia" w:hAnsiTheme="minorEastAsia"/>
                <w:b/>
                <w:sz w:val="24"/>
                <w:szCs w:val="24"/>
              </w:rPr>
              <w:t>分值</w:t>
            </w:r>
          </w:p>
        </w:tc>
        <w:tc>
          <w:tcPr>
            <w:tcW w:w="5245" w:type="dxa"/>
          </w:tcPr>
          <w:p>
            <w:pPr>
              <w:jc w:val="center"/>
              <w:rPr>
                <w:rFonts w:ascii="宋体" w:hAnsi="宋体"/>
                <w:sz w:val="30"/>
                <w:szCs w:val="30"/>
              </w:rPr>
            </w:pPr>
            <w:r>
              <w:rPr>
                <w:rFonts w:hint="eastAsia" w:asciiTheme="minorEastAsia" w:hAnsiTheme="minorEastAsia"/>
                <w:b/>
                <w:sz w:val="24"/>
                <w:szCs w:val="24"/>
              </w:rPr>
              <w:t>评分标准</w:t>
            </w:r>
          </w:p>
        </w:tc>
        <w:tc>
          <w:tcPr>
            <w:tcW w:w="1382" w:type="dxa"/>
          </w:tcPr>
          <w:p>
            <w:pPr>
              <w:jc w:val="center"/>
              <w:rPr>
                <w:rFonts w:ascii="宋体" w:hAnsi="宋体"/>
                <w:sz w:val="30"/>
                <w:szCs w:val="30"/>
              </w:rPr>
            </w:pPr>
            <w:r>
              <w:rPr>
                <w:rFonts w:hint="eastAsia" w:asciiTheme="minorEastAsia" w:hAnsiTheme="minor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24"/>
                <w:szCs w:val="24"/>
              </w:rPr>
            </w:pPr>
            <w:r>
              <w:rPr>
                <w:rFonts w:hint="eastAsia" w:asciiTheme="minorEastAsia" w:hAnsiTheme="minorEastAsia"/>
                <w:sz w:val="24"/>
                <w:szCs w:val="24"/>
              </w:rPr>
              <w:t>报价</w:t>
            </w:r>
          </w:p>
        </w:tc>
        <w:tc>
          <w:tcPr>
            <w:tcW w:w="1276" w:type="dxa"/>
            <w:vAlign w:val="center"/>
          </w:tcPr>
          <w:p>
            <w:pPr>
              <w:jc w:val="center"/>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0分</w:t>
            </w:r>
          </w:p>
        </w:tc>
        <w:tc>
          <w:tcPr>
            <w:tcW w:w="5245" w:type="dxa"/>
          </w:tcPr>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1.各报价单位的有效综合报价的算数平均值为评标基准价；（有效报价结合产品类别产量进行计算）</w:t>
            </w:r>
          </w:p>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2.报价等于基准价时得</w:t>
            </w:r>
            <w:r>
              <w:rPr>
                <w:rFonts w:asciiTheme="minorEastAsia" w:hAnsiTheme="minorEastAsia"/>
                <w:bCs/>
                <w:sz w:val="24"/>
                <w:szCs w:val="24"/>
              </w:rPr>
              <w:t>50</w:t>
            </w:r>
            <w:r>
              <w:rPr>
                <w:rFonts w:hint="eastAsia" w:asciiTheme="minorEastAsia" w:hAnsiTheme="minorEastAsia"/>
                <w:bCs/>
                <w:sz w:val="24"/>
                <w:szCs w:val="24"/>
              </w:rPr>
              <w:t>分；</w:t>
            </w:r>
          </w:p>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3.报价每低于基准价1%加1分，最高得</w:t>
            </w:r>
            <w:r>
              <w:rPr>
                <w:rFonts w:asciiTheme="minorEastAsia" w:hAnsiTheme="minorEastAsia"/>
                <w:bCs/>
                <w:sz w:val="24"/>
                <w:szCs w:val="24"/>
              </w:rPr>
              <w:t>7</w:t>
            </w:r>
            <w:r>
              <w:rPr>
                <w:rFonts w:hint="eastAsia" w:asciiTheme="minorEastAsia" w:hAnsiTheme="minorEastAsia"/>
                <w:bCs/>
                <w:sz w:val="24"/>
                <w:szCs w:val="24"/>
              </w:rPr>
              <w:t>0分；</w:t>
            </w:r>
          </w:p>
          <w:p>
            <w:pPr>
              <w:pStyle w:val="34"/>
              <w:adjustRightInd w:val="0"/>
              <w:snapToGrid w:val="0"/>
              <w:ind w:firstLine="0" w:firstLineChars="0"/>
              <w:jc w:val="left"/>
              <w:rPr>
                <w:rFonts w:ascii="宋体" w:hAnsi="宋体"/>
                <w:sz w:val="30"/>
                <w:szCs w:val="30"/>
              </w:rPr>
            </w:pPr>
            <w:r>
              <w:rPr>
                <w:rFonts w:hint="eastAsia" w:asciiTheme="minorEastAsia" w:hAnsiTheme="minorEastAsia"/>
                <w:bCs/>
                <w:sz w:val="24"/>
                <w:szCs w:val="24"/>
              </w:rPr>
              <w:t>4.报价每高于基准价1%扣1分，扣完为止。</w:t>
            </w:r>
          </w:p>
        </w:tc>
        <w:tc>
          <w:tcPr>
            <w:tcW w:w="1382"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24"/>
                <w:szCs w:val="24"/>
              </w:rPr>
            </w:pPr>
            <w:r>
              <w:rPr>
                <w:rFonts w:hint="eastAsia" w:asciiTheme="minorEastAsia" w:hAnsiTheme="minorEastAsia"/>
                <w:sz w:val="24"/>
                <w:szCs w:val="24"/>
              </w:rPr>
              <w:t>资质和能力</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25分</w:t>
            </w:r>
          </w:p>
        </w:tc>
        <w:tc>
          <w:tcPr>
            <w:tcW w:w="5245" w:type="dxa"/>
          </w:tcPr>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1.所有报价人中资质和综合实力最优者得5分，其它酌情扣分；</w:t>
            </w:r>
          </w:p>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2.提供一项相同或类似业绩得2分，没有不得分，最高得分15分。</w:t>
            </w:r>
          </w:p>
          <w:p>
            <w:pPr>
              <w:pStyle w:val="34"/>
              <w:adjustRightInd w:val="0"/>
              <w:snapToGrid w:val="0"/>
              <w:ind w:firstLine="0" w:firstLineChars="0"/>
              <w:jc w:val="left"/>
              <w:rPr>
                <w:rFonts w:asciiTheme="minorEastAsia" w:hAnsiTheme="minorEastAsia"/>
                <w:bCs/>
                <w:sz w:val="24"/>
                <w:szCs w:val="24"/>
              </w:rPr>
            </w:pPr>
            <w:r>
              <w:rPr>
                <w:rFonts w:hint="eastAsia" w:asciiTheme="minorEastAsia" w:hAnsiTheme="minorEastAsia"/>
                <w:bCs/>
                <w:sz w:val="24"/>
                <w:szCs w:val="24"/>
              </w:rPr>
              <w:t>3.客户满意度每有一家得1分，最高5分。</w:t>
            </w:r>
          </w:p>
        </w:tc>
        <w:tc>
          <w:tcPr>
            <w:tcW w:w="1382"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sz w:val="24"/>
                <w:szCs w:val="24"/>
              </w:rPr>
            </w:pPr>
            <w:r>
              <w:rPr>
                <w:rFonts w:hint="eastAsia" w:asciiTheme="minorEastAsia" w:hAnsiTheme="minorEastAsia"/>
                <w:sz w:val="24"/>
                <w:szCs w:val="24"/>
              </w:rPr>
              <w:t>技术评审</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5分</w:t>
            </w:r>
          </w:p>
        </w:tc>
        <w:tc>
          <w:tcPr>
            <w:tcW w:w="5245" w:type="dxa"/>
          </w:tcPr>
          <w:p>
            <w:pPr>
              <w:pStyle w:val="34"/>
              <w:adjustRightInd w:val="0"/>
              <w:snapToGrid w:val="0"/>
              <w:ind w:firstLine="0" w:firstLineChars="0"/>
              <w:jc w:val="left"/>
              <w:rPr>
                <w:rFonts w:cs="Arial" w:asciiTheme="minorEastAsia" w:hAnsiTheme="minorEastAsia"/>
                <w:sz w:val="24"/>
                <w:szCs w:val="24"/>
              </w:rPr>
            </w:pPr>
            <w:r>
              <w:rPr>
                <w:rFonts w:hint="eastAsia" w:asciiTheme="minorEastAsia" w:hAnsiTheme="minorEastAsia"/>
                <w:bCs/>
                <w:sz w:val="24"/>
                <w:szCs w:val="24"/>
              </w:rPr>
              <w:t>1.提供的服务方案详细、保障和控制措施有力，方案合理、可行，有违约责任承诺和具体经济赔偿办法</w:t>
            </w:r>
            <w:r>
              <w:rPr>
                <w:rFonts w:hint="eastAsia" w:cs="Arial" w:asciiTheme="minorEastAsia" w:hAnsiTheme="minorEastAsia"/>
                <w:sz w:val="24"/>
                <w:szCs w:val="24"/>
              </w:rPr>
              <w:t>。综合最优者3分，其它酌情扣分。</w:t>
            </w:r>
          </w:p>
          <w:p>
            <w:pPr>
              <w:adjustRightInd w:val="0"/>
              <w:snapToGrid w:val="0"/>
              <w:jc w:val="left"/>
              <w:rPr>
                <w:rFonts w:ascii="宋体" w:hAnsi="宋体"/>
                <w:sz w:val="30"/>
                <w:szCs w:val="30"/>
              </w:rPr>
            </w:pPr>
            <w:r>
              <w:rPr>
                <w:rFonts w:hint="eastAsia" w:asciiTheme="minorEastAsia" w:hAnsiTheme="minorEastAsia"/>
                <w:bCs/>
                <w:sz w:val="24"/>
                <w:szCs w:val="24"/>
              </w:rPr>
              <w:t>2.设备、设施、人员投入满足本项目需要得2分，基本满足得1分，不满足不得分</w:t>
            </w:r>
            <w:r>
              <w:rPr>
                <w:rFonts w:hint="eastAsia" w:cs="Arial" w:asciiTheme="minorEastAsia" w:hAnsiTheme="minorEastAsia"/>
                <w:sz w:val="24"/>
                <w:szCs w:val="24"/>
              </w:rPr>
              <w:t>。</w:t>
            </w:r>
          </w:p>
        </w:tc>
        <w:tc>
          <w:tcPr>
            <w:tcW w:w="1382"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3"/>
            <w:vAlign w:val="center"/>
          </w:tcPr>
          <w:p>
            <w:pPr>
              <w:rPr>
                <w:rFonts w:ascii="宋体" w:hAnsi="宋体"/>
                <w:sz w:val="30"/>
                <w:szCs w:val="30"/>
              </w:rPr>
            </w:pPr>
            <w:r>
              <w:rPr>
                <w:rFonts w:hint="eastAsia" w:ascii="宋体" w:hAnsi="宋体"/>
                <w:sz w:val="30"/>
                <w:szCs w:val="30"/>
              </w:rPr>
              <w:t>评分合计</w:t>
            </w:r>
          </w:p>
        </w:tc>
        <w:tc>
          <w:tcPr>
            <w:tcW w:w="1382" w:type="dxa"/>
            <w:vAlign w:val="center"/>
          </w:tcPr>
          <w:p>
            <w:pPr>
              <w:jc w:val="center"/>
              <w:rPr>
                <w:rFonts w:ascii="宋体" w:hAnsi="宋体"/>
                <w:sz w:val="30"/>
                <w:szCs w:val="30"/>
              </w:rPr>
            </w:pPr>
          </w:p>
        </w:tc>
      </w:tr>
    </w:tbl>
    <w:p>
      <w:pPr>
        <w:rPr>
          <w:rFonts w:ascii="宋体" w:hAnsi="宋体"/>
          <w:sz w:val="30"/>
          <w:szCs w:val="30"/>
          <w:highlight w:val="none"/>
        </w:rPr>
      </w:pPr>
      <w:r>
        <w:rPr>
          <w:rFonts w:hint="eastAsia" w:ascii="宋体" w:hAnsi="宋体"/>
          <w:sz w:val="30"/>
          <w:szCs w:val="30"/>
          <w:highlight w:val="none"/>
        </w:rPr>
        <w:t>特别提示：询价人有权根据单项报价选择一家、两家或三家进行服务。</w:t>
      </w:r>
    </w:p>
    <w:p>
      <w:pPr>
        <w:rPr>
          <w:rFonts w:ascii="宋体" w:hAnsi="宋体"/>
          <w:sz w:val="30"/>
          <w:szCs w:val="30"/>
        </w:rPr>
      </w:pPr>
      <w:bookmarkStart w:id="86" w:name="_GoBack"/>
      <w:bookmarkEnd w:id="86"/>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jc w:val="left"/>
        <w:rPr>
          <w:rFonts w:asciiTheme="minorEastAsia" w:hAnsiTheme="minorEastAsia" w:cstheme="minorEastAsia"/>
          <w:b/>
          <w:sz w:val="24"/>
          <w:szCs w:val="24"/>
        </w:rPr>
      </w:pPr>
    </w:p>
    <w:p>
      <w:pPr>
        <w:pStyle w:val="26"/>
        <w:ind w:left="360" w:firstLine="0" w:firstLineChars="0"/>
        <w:jc w:val="left"/>
        <w:rPr>
          <w:rFonts w:asciiTheme="minorEastAsia" w:hAnsiTheme="minorEastAsia" w:cstheme="minorEastAsia"/>
          <w:b/>
          <w:sz w:val="24"/>
          <w:szCs w:val="24"/>
        </w:rPr>
      </w:pPr>
    </w:p>
    <w:sectPr>
      <w:headerReference r:id="rId8" w:type="default"/>
      <w:pgSz w:w="11906" w:h="16838"/>
      <w:pgMar w:top="1531"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4</w:t>
    </w:r>
    <w:r>
      <w:rPr>
        <w:lang w:val="zh-CN"/>
      </w:rPr>
      <w:fldChar w:fldCharType="end"/>
    </w:r>
  </w:p>
  <w:p>
    <w:pPr>
      <w:pStyle w:val="12"/>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2</w:t>
    </w:r>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21</w:t>
    </w:r>
    <w:r>
      <w:rPr>
        <w:lang w:val="zh-CN"/>
      </w:rPr>
      <w:fldChar w:fldCharType="end"/>
    </w:r>
  </w:p>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wordWrap w:val="0"/>
      <w:overflowPunct w:val="0"/>
      <w:autoSpaceDE w:val="0"/>
      <w:autoSpaceDN w:val="0"/>
      <w:spacing w:line="360" w:lineRule="auto"/>
    </w:pPr>
    <w:r>
      <w:rPr>
        <w:rFonts w:hint="eastAsia"/>
      </w:rPr>
      <w:t>内蒙古大地云天化工有限公司化肥着色、包裹技术服务承包项目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54F99"/>
    <w:multiLevelType w:val="multilevel"/>
    <w:tmpl w:val="2ED54F99"/>
    <w:lvl w:ilvl="0" w:tentative="0">
      <w:start w:val="1"/>
      <w:numFmt w:val="decimal"/>
      <w:lvlText w:val="（%1）"/>
      <w:lvlJc w:val="left"/>
      <w:pPr>
        <w:ind w:left="1079" w:hanging="72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1">
    <w:nsid w:val="43B361FC"/>
    <w:multiLevelType w:val="multilevel"/>
    <w:tmpl w:val="43B361FC"/>
    <w:lvl w:ilvl="0" w:tentative="0">
      <w:start w:val="2"/>
      <w:numFmt w:val="decimal"/>
      <w:lvlText w:val="（%1）"/>
      <w:lvlJc w:val="left"/>
      <w:pPr>
        <w:ind w:left="1030" w:hanging="720"/>
      </w:pPr>
      <w:rPr>
        <w:rFonts w:hint="default"/>
      </w:rPr>
    </w:lvl>
    <w:lvl w:ilvl="1" w:tentative="0">
      <w:start w:val="1"/>
      <w:numFmt w:val="lowerLetter"/>
      <w:lvlText w:val="%2)"/>
      <w:lvlJc w:val="left"/>
      <w:pPr>
        <w:ind w:left="1150" w:hanging="420"/>
      </w:pPr>
    </w:lvl>
    <w:lvl w:ilvl="2" w:tentative="0">
      <w:start w:val="1"/>
      <w:numFmt w:val="lowerRoman"/>
      <w:lvlText w:val="%3."/>
      <w:lvlJc w:val="right"/>
      <w:pPr>
        <w:ind w:left="1570" w:hanging="420"/>
      </w:pPr>
    </w:lvl>
    <w:lvl w:ilvl="3" w:tentative="0">
      <w:start w:val="1"/>
      <w:numFmt w:val="decimal"/>
      <w:lvlText w:val="%4."/>
      <w:lvlJc w:val="left"/>
      <w:pPr>
        <w:ind w:left="1990" w:hanging="420"/>
      </w:pPr>
    </w:lvl>
    <w:lvl w:ilvl="4" w:tentative="0">
      <w:start w:val="1"/>
      <w:numFmt w:val="lowerLetter"/>
      <w:lvlText w:val="%5)"/>
      <w:lvlJc w:val="left"/>
      <w:pPr>
        <w:ind w:left="2410" w:hanging="420"/>
      </w:pPr>
    </w:lvl>
    <w:lvl w:ilvl="5" w:tentative="0">
      <w:start w:val="1"/>
      <w:numFmt w:val="lowerRoman"/>
      <w:lvlText w:val="%6."/>
      <w:lvlJc w:val="right"/>
      <w:pPr>
        <w:ind w:left="2830" w:hanging="420"/>
      </w:pPr>
    </w:lvl>
    <w:lvl w:ilvl="6" w:tentative="0">
      <w:start w:val="1"/>
      <w:numFmt w:val="decimal"/>
      <w:lvlText w:val="%7."/>
      <w:lvlJc w:val="left"/>
      <w:pPr>
        <w:ind w:left="3250" w:hanging="420"/>
      </w:pPr>
    </w:lvl>
    <w:lvl w:ilvl="7" w:tentative="0">
      <w:start w:val="1"/>
      <w:numFmt w:val="lowerLetter"/>
      <w:lvlText w:val="%8)"/>
      <w:lvlJc w:val="left"/>
      <w:pPr>
        <w:ind w:left="3670" w:hanging="420"/>
      </w:pPr>
    </w:lvl>
    <w:lvl w:ilvl="8" w:tentative="0">
      <w:start w:val="1"/>
      <w:numFmt w:val="lowerRoman"/>
      <w:lvlText w:val="%9."/>
      <w:lvlJc w:val="righ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9F7649"/>
    <w:rsid w:val="00010BBA"/>
    <w:rsid w:val="000114BB"/>
    <w:rsid w:val="0001176A"/>
    <w:rsid w:val="000309C5"/>
    <w:rsid w:val="00047256"/>
    <w:rsid w:val="00047753"/>
    <w:rsid w:val="000528C2"/>
    <w:rsid w:val="00062E4F"/>
    <w:rsid w:val="00066235"/>
    <w:rsid w:val="00070F36"/>
    <w:rsid w:val="00073B4E"/>
    <w:rsid w:val="000776CB"/>
    <w:rsid w:val="00085564"/>
    <w:rsid w:val="00085673"/>
    <w:rsid w:val="000901A2"/>
    <w:rsid w:val="0009114B"/>
    <w:rsid w:val="000A0545"/>
    <w:rsid w:val="000A6B56"/>
    <w:rsid w:val="000B1D26"/>
    <w:rsid w:val="000B1DC4"/>
    <w:rsid w:val="000B37B1"/>
    <w:rsid w:val="000B4335"/>
    <w:rsid w:val="000C4144"/>
    <w:rsid w:val="000C5DE0"/>
    <w:rsid w:val="000D0B24"/>
    <w:rsid w:val="000D7DCC"/>
    <w:rsid w:val="000E1D0B"/>
    <w:rsid w:val="000E30AA"/>
    <w:rsid w:val="000F12C3"/>
    <w:rsid w:val="000F302A"/>
    <w:rsid w:val="0010514C"/>
    <w:rsid w:val="00105A85"/>
    <w:rsid w:val="00111116"/>
    <w:rsid w:val="00114B88"/>
    <w:rsid w:val="001261FC"/>
    <w:rsid w:val="001307CC"/>
    <w:rsid w:val="001436B4"/>
    <w:rsid w:val="00145D19"/>
    <w:rsid w:val="00171D13"/>
    <w:rsid w:val="00172326"/>
    <w:rsid w:val="00174765"/>
    <w:rsid w:val="001819E9"/>
    <w:rsid w:val="0018449C"/>
    <w:rsid w:val="00185CCB"/>
    <w:rsid w:val="001905E9"/>
    <w:rsid w:val="00193918"/>
    <w:rsid w:val="0019579C"/>
    <w:rsid w:val="001A1D92"/>
    <w:rsid w:val="001A1F5C"/>
    <w:rsid w:val="001A7422"/>
    <w:rsid w:val="001C6891"/>
    <w:rsid w:val="001C7E23"/>
    <w:rsid w:val="001D16D1"/>
    <w:rsid w:val="001D24A6"/>
    <w:rsid w:val="001E0B4D"/>
    <w:rsid w:val="001E30AE"/>
    <w:rsid w:val="001F7968"/>
    <w:rsid w:val="002015AC"/>
    <w:rsid w:val="0021020C"/>
    <w:rsid w:val="002106B4"/>
    <w:rsid w:val="00210A80"/>
    <w:rsid w:val="00210C84"/>
    <w:rsid w:val="00211488"/>
    <w:rsid w:val="002207AD"/>
    <w:rsid w:val="00220C13"/>
    <w:rsid w:val="00242291"/>
    <w:rsid w:val="00243336"/>
    <w:rsid w:val="0025079D"/>
    <w:rsid w:val="0025177B"/>
    <w:rsid w:val="0026029B"/>
    <w:rsid w:val="00260DBA"/>
    <w:rsid w:val="00263272"/>
    <w:rsid w:val="00263C8C"/>
    <w:rsid w:val="00265BC6"/>
    <w:rsid w:val="00277FCA"/>
    <w:rsid w:val="002830B2"/>
    <w:rsid w:val="00296093"/>
    <w:rsid w:val="002B125B"/>
    <w:rsid w:val="002B3FC3"/>
    <w:rsid w:val="002B6EF0"/>
    <w:rsid w:val="002C05C0"/>
    <w:rsid w:val="002C0F81"/>
    <w:rsid w:val="002C11AC"/>
    <w:rsid w:val="002C22C8"/>
    <w:rsid w:val="002C3701"/>
    <w:rsid w:val="002D14A8"/>
    <w:rsid w:val="002D4291"/>
    <w:rsid w:val="002D7EE8"/>
    <w:rsid w:val="002E037C"/>
    <w:rsid w:val="002E0BC6"/>
    <w:rsid w:val="002E0D47"/>
    <w:rsid w:val="002E246E"/>
    <w:rsid w:val="002E6B62"/>
    <w:rsid w:val="002F25A6"/>
    <w:rsid w:val="002F3D50"/>
    <w:rsid w:val="003038F2"/>
    <w:rsid w:val="00326674"/>
    <w:rsid w:val="00327B55"/>
    <w:rsid w:val="0033531B"/>
    <w:rsid w:val="00342F0C"/>
    <w:rsid w:val="003468F3"/>
    <w:rsid w:val="003469CF"/>
    <w:rsid w:val="00346A03"/>
    <w:rsid w:val="00351652"/>
    <w:rsid w:val="0035221A"/>
    <w:rsid w:val="00361CDD"/>
    <w:rsid w:val="00361F93"/>
    <w:rsid w:val="00365181"/>
    <w:rsid w:val="00384283"/>
    <w:rsid w:val="003933DB"/>
    <w:rsid w:val="003941D7"/>
    <w:rsid w:val="003A15A7"/>
    <w:rsid w:val="003A1E1C"/>
    <w:rsid w:val="003B377E"/>
    <w:rsid w:val="003C1078"/>
    <w:rsid w:val="003C2436"/>
    <w:rsid w:val="003C45EF"/>
    <w:rsid w:val="003C5623"/>
    <w:rsid w:val="003C7D31"/>
    <w:rsid w:val="003D2271"/>
    <w:rsid w:val="003D628C"/>
    <w:rsid w:val="003F43F4"/>
    <w:rsid w:val="003F576D"/>
    <w:rsid w:val="003F64A4"/>
    <w:rsid w:val="00403CB3"/>
    <w:rsid w:val="00410609"/>
    <w:rsid w:val="00414CCD"/>
    <w:rsid w:val="00420BA5"/>
    <w:rsid w:val="004217DA"/>
    <w:rsid w:val="004256B0"/>
    <w:rsid w:val="00425F0A"/>
    <w:rsid w:val="00430168"/>
    <w:rsid w:val="00440C16"/>
    <w:rsid w:val="0044160B"/>
    <w:rsid w:val="00442438"/>
    <w:rsid w:val="00447021"/>
    <w:rsid w:val="00472278"/>
    <w:rsid w:val="00472463"/>
    <w:rsid w:val="004752A7"/>
    <w:rsid w:val="004830A4"/>
    <w:rsid w:val="00490B15"/>
    <w:rsid w:val="0049501B"/>
    <w:rsid w:val="00495438"/>
    <w:rsid w:val="0049633E"/>
    <w:rsid w:val="00496AA2"/>
    <w:rsid w:val="004A2C2D"/>
    <w:rsid w:val="004A729C"/>
    <w:rsid w:val="004B4502"/>
    <w:rsid w:val="004D171F"/>
    <w:rsid w:val="004D3B64"/>
    <w:rsid w:val="004D6501"/>
    <w:rsid w:val="004D6A59"/>
    <w:rsid w:val="005004E9"/>
    <w:rsid w:val="00505C55"/>
    <w:rsid w:val="005155A0"/>
    <w:rsid w:val="00524590"/>
    <w:rsid w:val="00533DEA"/>
    <w:rsid w:val="005475E0"/>
    <w:rsid w:val="00550454"/>
    <w:rsid w:val="0056434F"/>
    <w:rsid w:val="00565076"/>
    <w:rsid w:val="0056762A"/>
    <w:rsid w:val="005748E0"/>
    <w:rsid w:val="00574ADF"/>
    <w:rsid w:val="00583855"/>
    <w:rsid w:val="0059062D"/>
    <w:rsid w:val="00594F4B"/>
    <w:rsid w:val="005962FF"/>
    <w:rsid w:val="005A0A1A"/>
    <w:rsid w:val="005A0ED8"/>
    <w:rsid w:val="005A5893"/>
    <w:rsid w:val="005A711D"/>
    <w:rsid w:val="005E0302"/>
    <w:rsid w:val="005E2347"/>
    <w:rsid w:val="005E2E8A"/>
    <w:rsid w:val="005E392F"/>
    <w:rsid w:val="005F54DB"/>
    <w:rsid w:val="00614A05"/>
    <w:rsid w:val="00620043"/>
    <w:rsid w:val="00622A1D"/>
    <w:rsid w:val="0063460F"/>
    <w:rsid w:val="006350F4"/>
    <w:rsid w:val="00641F8C"/>
    <w:rsid w:val="00645A0C"/>
    <w:rsid w:val="00656F19"/>
    <w:rsid w:val="00657F5C"/>
    <w:rsid w:val="006621A3"/>
    <w:rsid w:val="0066253F"/>
    <w:rsid w:val="00675E58"/>
    <w:rsid w:val="00677203"/>
    <w:rsid w:val="00684814"/>
    <w:rsid w:val="00692556"/>
    <w:rsid w:val="00697DE6"/>
    <w:rsid w:val="006A34DB"/>
    <w:rsid w:val="006B1D86"/>
    <w:rsid w:val="006B2E43"/>
    <w:rsid w:val="006B4477"/>
    <w:rsid w:val="006D4BC9"/>
    <w:rsid w:val="006E500F"/>
    <w:rsid w:val="006E560A"/>
    <w:rsid w:val="006F75D7"/>
    <w:rsid w:val="007018CD"/>
    <w:rsid w:val="007039E0"/>
    <w:rsid w:val="007221CE"/>
    <w:rsid w:val="00734973"/>
    <w:rsid w:val="00742944"/>
    <w:rsid w:val="0074365F"/>
    <w:rsid w:val="00744BCA"/>
    <w:rsid w:val="00750BAE"/>
    <w:rsid w:val="007528E0"/>
    <w:rsid w:val="00753200"/>
    <w:rsid w:val="00757F53"/>
    <w:rsid w:val="00761187"/>
    <w:rsid w:val="00761813"/>
    <w:rsid w:val="007629E3"/>
    <w:rsid w:val="00776B26"/>
    <w:rsid w:val="00780F41"/>
    <w:rsid w:val="0078151F"/>
    <w:rsid w:val="00782573"/>
    <w:rsid w:val="007948A5"/>
    <w:rsid w:val="00795174"/>
    <w:rsid w:val="007B0009"/>
    <w:rsid w:val="007B4FA2"/>
    <w:rsid w:val="007B6EF3"/>
    <w:rsid w:val="007C57B9"/>
    <w:rsid w:val="007C6147"/>
    <w:rsid w:val="007E66CD"/>
    <w:rsid w:val="008012A2"/>
    <w:rsid w:val="00805139"/>
    <w:rsid w:val="008056F6"/>
    <w:rsid w:val="00805C8D"/>
    <w:rsid w:val="00805E18"/>
    <w:rsid w:val="0081126B"/>
    <w:rsid w:val="00812C8C"/>
    <w:rsid w:val="00813500"/>
    <w:rsid w:val="00822349"/>
    <w:rsid w:val="0083120D"/>
    <w:rsid w:val="00841FBA"/>
    <w:rsid w:val="00861B40"/>
    <w:rsid w:val="00865A31"/>
    <w:rsid w:val="00890102"/>
    <w:rsid w:val="008A4A58"/>
    <w:rsid w:val="008A53A2"/>
    <w:rsid w:val="008C2A41"/>
    <w:rsid w:val="008C323B"/>
    <w:rsid w:val="008C583F"/>
    <w:rsid w:val="008D32B4"/>
    <w:rsid w:val="008D697D"/>
    <w:rsid w:val="008E69E5"/>
    <w:rsid w:val="008F645D"/>
    <w:rsid w:val="009040E7"/>
    <w:rsid w:val="0092562C"/>
    <w:rsid w:val="009262D3"/>
    <w:rsid w:val="00926A79"/>
    <w:rsid w:val="00950EA8"/>
    <w:rsid w:val="009577C0"/>
    <w:rsid w:val="009631EA"/>
    <w:rsid w:val="00980D95"/>
    <w:rsid w:val="00983393"/>
    <w:rsid w:val="00984F18"/>
    <w:rsid w:val="00990FCD"/>
    <w:rsid w:val="009A4EF6"/>
    <w:rsid w:val="009B2B2B"/>
    <w:rsid w:val="009B7021"/>
    <w:rsid w:val="009D07AB"/>
    <w:rsid w:val="009D4B1F"/>
    <w:rsid w:val="009F3AF9"/>
    <w:rsid w:val="009F496E"/>
    <w:rsid w:val="009F538D"/>
    <w:rsid w:val="00A041E3"/>
    <w:rsid w:val="00A129BC"/>
    <w:rsid w:val="00A2028E"/>
    <w:rsid w:val="00A2111C"/>
    <w:rsid w:val="00A36F0A"/>
    <w:rsid w:val="00A42FAC"/>
    <w:rsid w:val="00A44C28"/>
    <w:rsid w:val="00A45734"/>
    <w:rsid w:val="00A57A1E"/>
    <w:rsid w:val="00A6075D"/>
    <w:rsid w:val="00A61A3E"/>
    <w:rsid w:val="00A61F95"/>
    <w:rsid w:val="00A75D9D"/>
    <w:rsid w:val="00A8652F"/>
    <w:rsid w:val="00A92A18"/>
    <w:rsid w:val="00A93173"/>
    <w:rsid w:val="00A94012"/>
    <w:rsid w:val="00A95B19"/>
    <w:rsid w:val="00AA305B"/>
    <w:rsid w:val="00AB39A5"/>
    <w:rsid w:val="00AB594B"/>
    <w:rsid w:val="00AB7493"/>
    <w:rsid w:val="00AC5070"/>
    <w:rsid w:val="00AE15F7"/>
    <w:rsid w:val="00AF12D1"/>
    <w:rsid w:val="00AF343C"/>
    <w:rsid w:val="00AF3471"/>
    <w:rsid w:val="00AF4EFE"/>
    <w:rsid w:val="00AF73EC"/>
    <w:rsid w:val="00B02D06"/>
    <w:rsid w:val="00B1549A"/>
    <w:rsid w:val="00B22588"/>
    <w:rsid w:val="00B25162"/>
    <w:rsid w:val="00B328F3"/>
    <w:rsid w:val="00B32E38"/>
    <w:rsid w:val="00B3514F"/>
    <w:rsid w:val="00B46A0B"/>
    <w:rsid w:val="00B55880"/>
    <w:rsid w:val="00B57CB8"/>
    <w:rsid w:val="00B61F94"/>
    <w:rsid w:val="00BB29D8"/>
    <w:rsid w:val="00BC4077"/>
    <w:rsid w:val="00BC5FBD"/>
    <w:rsid w:val="00BD398E"/>
    <w:rsid w:val="00BE2EC0"/>
    <w:rsid w:val="00BF0E1F"/>
    <w:rsid w:val="00BF3253"/>
    <w:rsid w:val="00C020CB"/>
    <w:rsid w:val="00C05B00"/>
    <w:rsid w:val="00C15E5B"/>
    <w:rsid w:val="00C32229"/>
    <w:rsid w:val="00C34581"/>
    <w:rsid w:val="00C45AC2"/>
    <w:rsid w:val="00C47624"/>
    <w:rsid w:val="00C54D7F"/>
    <w:rsid w:val="00C55E98"/>
    <w:rsid w:val="00C61370"/>
    <w:rsid w:val="00C8259E"/>
    <w:rsid w:val="00C86909"/>
    <w:rsid w:val="00C937DB"/>
    <w:rsid w:val="00C95385"/>
    <w:rsid w:val="00C97E7D"/>
    <w:rsid w:val="00CA7048"/>
    <w:rsid w:val="00CB0BC1"/>
    <w:rsid w:val="00CB3D13"/>
    <w:rsid w:val="00CC2A83"/>
    <w:rsid w:val="00CC2CC0"/>
    <w:rsid w:val="00CC7E21"/>
    <w:rsid w:val="00CE3CA7"/>
    <w:rsid w:val="00CF2591"/>
    <w:rsid w:val="00CF26FA"/>
    <w:rsid w:val="00CF579D"/>
    <w:rsid w:val="00CF652E"/>
    <w:rsid w:val="00D02AB4"/>
    <w:rsid w:val="00D039F4"/>
    <w:rsid w:val="00D05796"/>
    <w:rsid w:val="00D10F48"/>
    <w:rsid w:val="00D165F4"/>
    <w:rsid w:val="00D2087E"/>
    <w:rsid w:val="00D22490"/>
    <w:rsid w:val="00D3053F"/>
    <w:rsid w:val="00D34754"/>
    <w:rsid w:val="00D35B4A"/>
    <w:rsid w:val="00D42F80"/>
    <w:rsid w:val="00D46309"/>
    <w:rsid w:val="00D53523"/>
    <w:rsid w:val="00D57AD8"/>
    <w:rsid w:val="00D77573"/>
    <w:rsid w:val="00D81BB8"/>
    <w:rsid w:val="00D82BB0"/>
    <w:rsid w:val="00D84391"/>
    <w:rsid w:val="00D86BD6"/>
    <w:rsid w:val="00D87A14"/>
    <w:rsid w:val="00D94403"/>
    <w:rsid w:val="00D976C2"/>
    <w:rsid w:val="00DA0B02"/>
    <w:rsid w:val="00DA5D85"/>
    <w:rsid w:val="00DB1994"/>
    <w:rsid w:val="00DC69FE"/>
    <w:rsid w:val="00DD7A0B"/>
    <w:rsid w:val="00DF4BD8"/>
    <w:rsid w:val="00DF75B1"/>
    <w:rsid w:val="00E10C70"/>
    <w:rsid w:val="00E15305"/>
    <w:rsid w:val="00E20955"/>
    <w:rsid w:val="00E311B6"/>
    <w:rsid w:val="00E3625D"/>
    <w:rsid w:val="00E41245"/>
    <w:rsid w:val="00E46240"/>
    <w:rsid w:val="00E53723"/>
    <w:rsid w:val="00E555A5"/>
    <w:rsid w:val="00E560E1"/>
    <w:rsid w:val="00E731E1"/>
    <w:rsid w:val="00E8615F"/>
    <w:rsid w:val="00E90651"/>
    <w:rsid w:val="00EA2F60"/>
    <w:rsid w:val="00EA4F74"/>
    <w:rsid w:val="00EB3FD9"/>
    <w:rsid w:val="00EC033F"/>
    <w:rsid w:val="00ED2804"/>
    <w:rsid w:val="00ED490C"/>
    <w:rsid w:val="00EE5A13"/>
    <w:rsid w:val="00EF5980"/>
    <w:rsid w:val="00F01949"/>
    <w:rsid w:val="00F05E83"/>
    <w:rsid w:val="00F21FCF"/>
    <w:rsid w:val="00F22948"/>
    <w:rsid w:val="00F25F15"/>
    <w:rsid w:val="00F273B7"/>
    <w:rsid w:val="00F43878"/>
    <w:rsid w:val="00F5465E"/>
    <w:rsid w:val="00F553F0"/>
    <w:rsid w:val="00F73C1A"/>
    <w:rsid w:val="00F75B5D"/>
    <w:rsid w:val="00F803CB"/>
    <w:rsid w:val="00F8270F"/>
    <w:rsid w:val="00F95A64"/>
    <w:rsid w:val="00FA002F"/>
    <w:rsid w:val="00FA5309"/>
    <w:rsid w:val="00FA6359"/>
    <w:rsid w:val="00FA734A"/>
    <w:rsid w:val="00FB71AB"/>
    <w:rsid w:val="00FC0CE2"/>
    <w:rsid w:val="00FD0178"/>
    <w:rsid w:val="00FD30B3"/>
    <w:rsid w:val="00FD3C9B"/>
    <w:rsid w:val="00FE5088"/>
    <w:rsid w:val="00FF22BF"/>
    <w:rsid w:val="01040833"/>
    <w:rsid w:val="01C420BE"/>
    <w:rsid w:val="021C5138"/>
    <w:rsid w:val="02304CD5"/>
    <w:rsid w:val="04376D36"/>
    <w:rsid w:val="057E6F2B"/>
    <w:rsid w:val="06791B2E"/>
    <w:rsid w:val="098F576B"/>
    <w:rsid w:val="0BBB626B"/>
    <w:rsid w:val="0BC6089E"/>
    <w:rsid w:val="112C783F"/>
    <w:rsid w:val="114C7087"/>
    <w:rsid w:val="115E2467"/>
    <w:rsid w:val="11CC7853"/>
    <w:rsid w:val="134A03FB"/>
    <w:rsid w:val="14206266"/>
    <w:rsid w:val="149E116F"/>
    <w:rsid w:val="15504C22"/>
    <w:rsid w:val="16EB063B"/>
    <w:rsid w:val="1787379A"/>
    <w:rsid w:val="17CF079E"/>
    <w:rsid w:val="180916A1"/>
    <w:rsid w:val="1C1A25A1"/>
    <w:rsid w:val="1D476619"/>
    <w:rsid w:val="1D541F98"/>
    <w:rsid w:val="1DCA4BB9"/>
    <w:rsid w:val="1FDB71CF"/>
    <w:rsid w:val="205E5DE7"/>
    <w:rsid w:val="21FC3D42"/>
    <w:rsid w:val="227322A7"/>
    <w:rsid w:val="22E23253"/>
    <w:rsid w:val="23B55A46"/>
    <w:rsid w:val="23C16507"/>
    <w:rsid w:val="24434B2C"/>
    <w:rsid w:val="244E320C"/>
    <w:rsid w:val="24D51679"/>
    <w:rsid w:val="250436D7"/>
    <w:rsid w:val="262E5403"/>
    <w:rsid w:val="2661662E"/>
    <w:rsid w:val="299F7649"/>
    <w:rsid w:val="29D351FF"/>
    <w:rsid w:val="2A462CB2"/>
    <w:rsid w:val="2BC56BC1"/>
    <w:rsid w:val="2C287094"/>
    <w:rsid w:val="2D756204"/>
    <w:rsid w:val="2DBF0B3E"/>
    <w:rsid w:val="2F6A5B0E"/>
    <w:rsid w:val="2FCC3878"/>
    <w:rsid w:val="315039F4"/>
    <w:rsid w:val="332A1049"/>
    <w:rsid w:val="33576347"/>
    <w:rsid w:val="346E05B1"/>
    <w:rsid w:val="34722885"/>
    <w:rsid w:val="34DE45B3"/>
    <w:rsid w:val="35316ED2"/>
    <w:rsid w:val="3652282D"/>
    <w:rsid w:val="366C1B88"/>
    <w:rsid w:val="36E459DF"/>
    <w:rsid w:val="3784310E"/>
    <w:rsid w:val="397F7C63"/>
    <w:rsid w:val="3AFE01B5"/>
    <w:rsid w:val="3CC965F4"/>
    <w:rsid w:val="3D697644"/>
    <w:rsid w:val="3EC416BA"/>
    <w:rsid w:val="3F870C33"/>
    <w:rsid w:val="3FBB7B4C"/>
    <w:rsid w:val="3FF5512F"/>
    <w:rsid w:val="422D6DA0"/>
    <w:rsid w:val="42A87A57"/>
    <w:rsid w:val="446C66D9"/>
    <w:rsid w:val="44F705D0"/>
    <w:rsid w:val="47786E34"/>
    <w:rsid w:val="488466C3"/>
    <w:rsid w:val="4ACB1AC7"/>
    <w:rsid w:val="4AEC4A28"/>
    <w:rsid w:val="4B0A64BE"/>
    <w:rsid w:val="4BC06BD8"/>
    <w:rsid w:val="4CD805F1"/>
    <w:rsid w:val="4CE20065"/>
    <w:rsid w:val="4D01454B"/>
    <w:rsid w:val="4F2424AA"/>
    <w:rsid w:val="4F2751E7"/>
    <w:rsid w:val="4FC649FB"/>
    <w:rsid w:val="50826155"/>
    <w:rsid w:val="50A75AB2"/>
    <w:rsid w:val="50FC683F"/>
    <w:rsid w:val="512863AA"/>
    <w:rsid w:val="52D52684"/>
    <w:rsid w:val="52D70679"/>
    <w:rsid w:val="52ED195E"/>
    <w:rsid w:val="53AF0FC7"/>
    <w:rsid w:val="53BD56AF"/>
    <w:rsid w:val="54246216"/>
    <w:rsid w:val="57A820B4"/>
    <w:rsid w:val="59801AFE"/>
    <w:rsid w:val="5A3D6C9C"/>
    <w:rsid w:val="5B3053E9"/>
    <w:rsid w:val="5C2F61BA"/>
    <w:rsid w:val="5D043214"/>
    <w:rsid w:val="5DDD6E40"/>
    <w:rsid w:val="5E7E4EEB"/>
    <w:rsid w:val="60A45752"/>
    <w:rsid w:val="60AF0F7B"/>
    <w:rsid w:val="628D1620"/>
    <w:rsid w:val="633C50A5"/>
    <w:rsid w:val="64040796"/>
    <w:rsid w:val="682C0B7C"/>
    <w:rsid w:val="699D5FD4"/>
    <w:rsid w:val="69DE05A5"/>
    <w:rsid w:val="69EF5FB7"/>
    <w:rsid w:val="6A120191"/>
    <w:rsid w:val="6ADF4D5C"/>
    <w:rsid w:val="6C731703"/>
    <w:rsid w:val="6DA91A42"/>
    <w:rsid w:val="6E5256E7"/>
    <w:rsid w:val="6F910C88"/>
    <w:rsid w:val="71420C6D"/>
    <w:rsid w:val="7250176F"/>
    <w:rsid w:val="72EA59E5"/>
    <w:rsid w:val="738C2F72"/>
    <w:rsid w:val="74663604"/>
    <w:rsid w:val="74AA7E75"/>
    <w:rsid w:val="76031203"/>
    <w:rsid w:val="772F7DE6"/>
    <w:rsid w:val="77DE26C1"/>
    <w:rsid w:val="78CD4747"/>
    <w:rsid w:val="79065E5F"/>
    <w:rsid w:val="7B503DD4"/>
    <w:rsid w:val="7C675554"/>
    <w:rsid w:val="7CF913BB"/>
    <w:rsid w:val="7D22463A"/>
    <w:rsid w:val="7DCD6C29"/>
    <w:rsid w:val="7ECA7933"/>
    <w:rsid w:val="7ECC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link w:val="31"/>
    <w:qFormat/>
    <w:uiPriority w:val="0"/>
    <w:pPr>
      <w:spacing w:after="120"/>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cs="Courier New"/>
      <w:szCs w:val="21"/>
    </w:rPr>
  </w:style>
  <w:style w:type="paragraph" w:styleId="10">
    <w:name w:val="Date"/>
    <w:basedOn w:val="1"/>
    <w:next w:val="1"/>
    <w:link w:val="30"/>
    <w:qFormat/>
    <w:uiPriority w:val="0"/>
    <w:pPr>
      <w:widowControl/>
    </w:pPr>
    <w:rPr>
      <w:rFonts w:ascii="Garamond" w:hAnsi="Garamond" w:eastAsia="隶书" w:cs="Times New Roman"/>
      <w:color w:val="0000FF"/>
      <w:kern w:val="0"/>
      <w:sz w:val="28"/>
      <w:szCs w:val="28"/>
    </w:rPr>
  </w:style>
  <w:style w:type="paragraph" w:styleId="11">
    <w:name w:val="Balloon Text"/>
    <w:basedOn w:val="1"/>
    <w:link w:val="2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231"/>
      </w:tabs>
      <w:spacing w:line="340" w:lineRule="exact"/>
    </w:pPr>
    <w:rPr>
      <w:rFonts w:ascii="宋体" w:hAnsi="宋体"/>
      <w:color w:val="000000"/>
      <w:w w:val="90"/>
      <w:sz w:val="24"/>
      <w:szCs w:val="24"/>
      <w:lang w:val="zh-CN"/>
    </w:rPr>
  </w:style>
  <w:style w:type="paragraph" w:styleId="15">
    <w:name w:val="toc 2"/>
    <w:basedOn w:val="1"/>
    <w:next w:val="1"/>
    <w:qFormat/>
    <w:uiPriority w:val="39"/>
    <w:pPr>
      <w:ind w:left="420" w:leftChars="200"/>
    </w:p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24">
    <w:name w:val="列出段落1"/>
    <w:basedOn w:val="1"/>
    <w:qFormat/>
    <w:uiPriority w:val="0"/>
    <w:pPr>
      <w:ind w:firstLine="420" w:firstLineChars="200"/>
    </w:pPr>
    <w:rPr>
      <w:rFonts w:ascii="Calibri" w:hAnsi="Calibri"/>
    </w:rPr>
  </w:style>
  <w:style w:type="character" w:customStyle="1" w:styleId="25">
    <w:name w:val="批注框文本 Char"/>
    <w:basedOn w:val="20"/>
    <w:link w:val="11"/>
    <w:qFormat/>
    <w:uiPriority w:val="0"/>
    <w:rPr>
      <w:kern w:val="2"/>
      <w:sz w:val="18"/>
      <w:szCs w:val="18"/>
    </w:rPr>
  </w:style>
  <w:style w:type="paragraph" w:customStyle="1" w:styleId="26">
    <w:name w:val="列出段落2"/>
    <w:basedOn w:val="1"/>
    <w:qFormat/>
    <w:uiPriority w:val="34"/>
    <w:pPr>
      <w:ind w:firstLine="420" w:firstLineChars="200"/>
    </w:pPr>
    <w:rPr>
      <w:rFonts w:ascii="Times New Roman" w:hAnsi="Times New Roman" w:eastAsia="宋体" w:cs="Times New Roman"/>
      <w:szCs w:val="21"/>
    </w:rPr>
  </w:style>
  <w:style w:type="character" w:customStyle="1" w:styleId="27">
    <w:name w:val="页脚 Char"/>
    <w:link w:val="12"/>
    <w:qFormat/>
    <w:uiPriority w:val="99"/>
    <w:rPr>
      <w:kern w:val="2"/>
      <w:sz w:val="18"/>
      <w:szCs w:val="22"/>
    </w:rPr>
  </w:style>
  <w:style w:type="character" w:customStyle="1" w:styleId="28">
    <w:name w:val="页眉 Char"/>
    <w:basedOn w:val="20"/>
    <w:link w:val="13"/>
    <w:qFormat/>
    <w:uiPriority w:val="0"/>
    <w:rPr>
      <w:kern w:val="2"/>
      <w:sz w:val="18"/>
      <w:szCs w:val="18"/>
    </w:rPr>
  </w:style>
  <w:style w:type="character" w:customStyle="1" w:styleId="29">
    <w:name w:val="日期 Char"/>
    <w:qFormat/>
    <w:uiPriority w:val="0"/>
    <w:rPr>
      <w:rFonts w:ascii="Garamond" w:hAnsi="Garamond" w:eastAsia="隶书"/>
      <w:color w:val="0000FF"/>
      <w:sz w:val="28"/>
      <w:szCs w:val="28"/>
    </w:rPr>
  </w:style>
  <w:style w:type="character" w:customStyle="1" w:styleId="30">
    <w:name w:val="日期 Char1"/>
    <w:basedOn w:val="20"/>
    <w:link w:val="10"/>
    <w:qFormat/>
    <w:uiPriority w:val="0"/>
    <w:rPr>
      <w:rFonts w:ascii="Garamond" w:hAnsi="Garamond" w:eastAsia="隶书" w:cs="Times New Roman"/>
      <w:color w:val="0000FF"/>
      <w:sz w:val="28"/>
      <w:szCs w:val="28"/>
    </w:rPr>
  </w:style>
  <w:style w:type="character" w:customStyle="1" w:styleId="31">
    <w:name w:val="正文文本 Char"/>
    <w:basedOn w:val="20"/>
    <w:link w:val="7"/>
    <w:qFormat/>
    <w:uiPriority w:val="0"/>
    <w:rPr>
      <w:kern w:val="2"/>
      <w:sz w:val="21"/>
      <w:szCs w:val="22"/>
    </w:rPr>
  </w:style>
  <w:style w:type="character" w:customStyle="1" w:styleId="32">
    <w:name w:val="标题 Char"/>
    <w:basedOn w:val="20"/>
    <w:link w:val="17"/>
    <w:qFormat/>
    <w:uiPriority w:val="0"/>
    <w:rPr>
      <w:rFonts w:eastAsia="宋体" w:asciiTheme="majorHAnsi" w:hAnsiTheme="majorHAnsi" w:cstheme="majorBidi"/>
      <w:b/>
      <w:bCs/>
      <w:kern w:val="2"/>
      <w:sz w:val="32"/>
      <w:szCs w:val="32"/>
    </w:rPr>
  </w:style>
  <w:style w:type="character" w:customStyle="1" w:styleId="33">
    <w:name w:val="标题 2 Char"/>
    <w:basedOn w:val="20"/>
    <w:link w:val="3"/>
    <w:qFormat/>
    <w:uiPriority w:val="0"/>
    <w:rPr>
      <w:rFonts w:asciiTheme="majorHAnsi" w:hAnsiTheme="majorHAnsi" w:eastAsiaTheme="majorEastAsia" w:cstheme="majorBidi"/>
      <w:b/>
      <w:bCs/>
      <w:kern w:val="2"/>
      <w:sz w:val="32"/>
      <w:szCs w:val="32"/>
    </w:rPr>
  </w:style>
  <w:style w:type="paragraph" w:customStyle="1" w:styleId="34">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C09A6-1A89-4546-ADCD-F65198A24E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2412</Words>
  <Characters>13754</Characters>
  <Lines>114</Lines>
  <Paragraphs>32</Paragraphs>
  <TotalTime>593</TotalTime>
  <ScaleCrop>false</ScaleCrop>
  <LinksUpToDate>false</LinksUpToDate>
  <CharactersWithSpaces>16134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2016-05-14T02:53:00Z</dcterms:created>
  <dc:creator>吉登辉</dc:creator>
  <cp:lastModifiedBy>哎</cp:lastModifiedBy>
  <cp:lastPrinted>2021-12-08T03:07:00Z</cp:lastPrinted>
  <dcterms:modified xsi:type="dcterms:W3CDTF">2021-12-08T07:28:29Z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2C5DCF901197421FAC49ECCE45505B11</vt:lpwstr>
  </property>
</Properties>
</file>